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center"/>
        <w:textAlignment w:val="auto"/>
        <w:rPr>
          <w:rFonts w:hint="default" w:ascii="宋体" w:hAnsi="宋体" w:eastAsia="宋体" w:cs="宋体"/>
          <w:b/>
          <w:bCs/>
          <w:sz w:val="32"/>
          <w:szCs w:val="32"/>
          <w:lang w:val="en-US" w:eastAsia="zh-CN" w:bidi="ar-SA"/>
        </w:rPr>
      </w:pPr>
      <w:r>
        <w:rPr>
          <w:rFonts w:hint="eastAsia" w:ascii="宋体" w:hAnsi="宋体" w:cs="宋体"/>
          <w:b/>
          <w:bCs/>
          <w:sz w:val="32"/>
          <w:szCs w:val="32"/>
          <w:lang w:val="en-US" w:eastAsia="zh-CN" w:bidi="ar-SA"/>
        </w:rPr>
        <w:t>煤气管道提升明细及</w:t>
      </w:r>
      <w:bookmarkStart w:id="0" w:name="_GoBack"/>
      <w:bookmarkEnd w:id="0"/>
      <w:r>
        <w:rPr>
          <w:rFonts w:hint="eastAsia" w:ascii="宋体" w:hAnsi="宋体" w:cs="宋体"/>
          <w:b/>
          <w:bCs/>
          <w:sz w:val="32"/>
          <w:szCs w:val="32"/>
          <w:lang w:val="en-US" w:eastAsia="zh-CN" w:bidi="ar-SA"/>
        </w:rPr>
        <w:t>技术要求</w:t>
      </w:r>
    </w:p>
    <w:tbl>
      <w:tblPr>
        <w:tblStyle w:val="2"/>
        <w:tblpPr w:leftFromText="180" w:rightFromText="180" w:vertAnchor="text" w:horzAnchor="page" w:tblpX="994" w:tblpY="729"/>
        <w:tblOverlap w:val="never"/>
        <w:tblW w:w="10425" w:type="dxa"/>
        <w:tblInd w:w="0" w:type="dxa"/>
        <w:shd w:val="clear" w:color="auto" w:fill="auto"/>
        <w:tblLayout w:type="autofit"/>
        <w:tblCellMar>
          <w:top w:w="0" w:type="dxa"/>
          <w:left w:w="0" w:type="dxa"/>
          <w:bottom w:w="0" w:type="dxa"/>
          <w:right w:w="0" w:type="dxa"/>
        </w:tblCellMar>
      </w:tblPr>
      <w:tblGrid>
        <w:gridCol w:w="765"/>
        <w:gridCol w:w="3555"/>
        <w:gridCol w:w="1320"/>
        <w:gridCol w:w="1590"/>
        <w:gridCol w:w="1155"/>
        <w:gridCol w:w="2040"/>
      </w:tblGrid>
      <w:tr>
        <w:tblPrEx>
          <w:shd w:val="clear" w:color="auto" w:fill="auto"/>
          <w:tblCellMar>
            <w:top w:w="0" w:type="dxa"/>
            <w:left w:w="0" w:type="dxa"/>
            <w:bottom w:w="0" w:type="dxa"/>
            <w:right w:w="0"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煤气管道</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尺寸</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长度（米）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面积（㎡）</w:t>
            </w:r>
          </w:p>
        </w:tc>
      </w:tr>
      <w:tr>
        <w:tblPrEx>
          <w:tblCellMar>
            <w:top w:w="0" w:type="dxa"/>
            <w:left w:w="0" w:type="dxa"/>
            <w:bottom w:w="0" w:type="dxa"/>
            <w:right w:w="0" w:type="dxa"/>
          </w:tblCellMar>
        </w:tblPrEx>
        <w:trPr>
          <w:trHeight w:val="3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焦炉机侧至化一路管廊支架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DN1400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w:t>
            </w:r>
          </w:p>
        </w:tc>
      </w:tr>
      <w:tr>
        <w:tblPrEx>
          <w:tblCellMar>
            <w:top w:w="0" w:type="dxa"/>
            <w:left w:w="0" w:type="dxa"/>
            <w:bottom w:w="0" w:type="dxa"/>
            <w:right w:w="0" w:type="dxa"/>
          </w:tblCellMar>
        </w:tblPrEx>
        <w:trPr>
          <w:trHeight w:val="5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化一路管廊支架上部至化一路管廊支架下部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DN1400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左侧焦炉中间台中间至油库外墙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DN1800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初冷器进口至电捕出口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干熄焦电动门至高炉煤气主管道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DN1800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焦炉机侧至化一路管廊支架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DN600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r>
      <w:tr>
        <w:tblPrEx>
          <w:tblCellMar>
            <w:top w:w="0" w:type="dxa"/>
            <w:left w:w="0" w:type="dxa"/>
            <w:bottom w:w="0" w:type="dxa"/>
            <w:right w:w="0" w:type="dxa"/>
          </w:tblCellMar>
        </w:tblPrEx>
        <w:trPr>
          <w:trHeight w:val="5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化一路管廊支架上部至化一路管廊支架下部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DN600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1#焦炉至2#焦炉</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DN1400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中冷塔顶部至油库外侧主管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预热器至1#脱硫塔</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洗涤塔-焦炉间台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615 </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化一路-炉间台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615 </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1#炉高气管道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1230 </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2#炉高气管道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1230 </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1#炉焦气管道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DN800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960 </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2#炉焦气管道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DN800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960 </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化一路-炉间台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DN800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350 </w:t>
            </w:r>
          </w:p>
        </w:tc>
      </w:tr>
      <w:tr>
        <w:tblPrEx>
          <w:tblCellMar>
            <w:top w:w="0" w:type="dxa"/>
            <w:left w:w="0" w:type="dxa"/>
            <w:bottom w:w="0" w:type="dxa"/>
            <w:right w:w="0"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地下室端台、中间台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DN800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960 </w:t>
            </w:r>
          </w:p>
        </w:tc>
      </w:tr>
      <w:tr>
        <w:tblPrEx>
          <w:tblCellMar>
            <w:top w:w="0" w:type="dxa"/>
            <w:left w:w="0" w:type="dxa"/>
            <w:bottom w:w="0" w:type="dxa"/>
            <w:right w:w="0"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各种介质管道</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r>
      <w:tr>
        <w:tblPrEx>
          <w:tblCellMar>
            <w:top w:w="0" w:type="dxa"/>
            <w:left w:w="0" w:type="dxa"/>
            <w:bottom w:w="0" w:type="dxa"/>
            <w:right w:w="0"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釜、槽、罐体及附属管道</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w:t>
            </w:r>
          </w:p>
        </w:tc>
      </w:tr>
      <w:tr>
        <w:tblPrEx>
          <w:tblCellMar>
            <w:top w:w="0" w:type="dxa"/>
            <w:left w:w="0" w:type="dxa"/>
            <w:bottom w:w="0" w:type="dxa"/>
            <w:right w:w="0"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62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0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21750</w:t>
            </w:r>
          </w:p>
        </w:tc>
      </w:tr>
    </w:tbl>
    <w:p>
      <w:pPr>
        <w:numPr>
          <w:ilvl w:val="0"/>
          <w:numId w:val="1"/>
        </w:numPr>
        <w:spacing w:line="360" w:lineRule="auto"/>
        <w:jc w:val="left"/>
        <w:rPr>
          <w:rFonts w:hint="eastAsia" w:ascii="宋体" w:hAnsi="宋体" w:cs="宋体"/>
          <w:b/>
          <w:bCs/>
          <w:sz w:val="28"/>
          <w:szCs w:val="28"/>
          <w:lang w:eastAsia="zh-CN" w:bidi="ar-SA"/>
        </w:rPr>
      </w:pPr>
      <w:r>
        <w:rPr>
          <w:rFonts w:hint="eastAsia" w:ascii="宋体" w:hAnsi="宋体" w:cs="宋体"/>
          <w:b/>
          <w:bCs/>
          <w:sz w:val="28"/>
          <w:szCs w:val="28"/>
          <w:lang w:eastAsia="zh-CN" w:bidi="ar-SA"/>
        </w:rPr>
        <w:t>施工内容</w:t>
      </w:r>
      <w:r>
        <w:rPr>
          <w:rFonts w:hint="eastAsia" w:ascii="宋体" w:hAnsi="宋体" w:cs="宋体"/>
          <w:b/>
          <w:bCs/>
          <w:sz w:val="28"/>
          <w:szCs w:val="28"/>
          <w:lang w:eastAsia="zh-CN" w:bidi="ar-SA"/>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二、施工要求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1、承揽方对煤气管道及附属设施进行整体防腐施工，施工大包，含主辅材、人工、脚手架及吊车等费用；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2、防腐标准：除锈后必须经我方确认质量合格后，才可继续施工。施工采用两底、两面，漆膜厚度大于等于150um，施工方提供检测仪器。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3、油漆统一采用：环氧漆，油漆提供合格证及检验报告，每道工序施工前必须由发包方业主单位负责人确认主材质量后才能实施；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4、废弃油漆桶按发包方业主单位要求送至指定地点存放，确保现场工完料尽，场地清；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5、管道施工结束后，按发包方业主单位要求对管道进行标识（色环、流向、介质等）；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6、施工验收合格后，承揽方按发包方要求制作“施工质量铭牌”，安装在管网支架以备后期质量跟踪。；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7、施工人员进厂后要遵守业主管理制度；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8、安措作业票按规范审核，施工过程安排专人安全监护。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pPr>
      <w:r>
        <w:rPr>
          <w:rFonts w:hint="eastAsia" w:ascii="宋体" w:hAnsi="宋体" w:cs="宋体"/>
          <w:b w:val="0"/>
          <w:bCs w:val="0"/>
          <w:sz w:val="28"/>
          <w:szCs w:val="28"/>
          <w:lang w:val="en-US" w:eastAsia="zh-CN" w:bidi="ar-SA"/>
        </w:rPr>
        <w:t>9、严重违反安全施工我方有权终止合同，由此造成的影响，乙方负完全责任。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10、工期：60天（雷雨天气等不可抗力因素导致无法施工，工期顺延），逾期未完成按照合同考核。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11、质保三年。（质保期内，防腐位置禁止出现锈迹、气泡、鼓包及脱落等质量问题，若如发生，按照合同进行考核，且按照此同一平台制定的防腐标准重新进行防腐处理）</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A34FE"/>
    <w:rsid w:val="046A34FE"/>
    <w:rsid w:val="1E6F2902"/>
    <w:rsid w:val="276C5833"/>
    <w:rsid w:val="3DD439DF"/>
    <w:rsid w:val="40A62213"/>
    <w:rsid w:val="536F2E45"/>
    <w:rsid w:val="59481A06"/>
    <w:rsid w:val="5C213964"/>
    <w:rsid w:val="6CED4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2020-04-23T02:47:00Z</dcterms:created>
  <dc:creator>Simple</dc:creator>
  <cp:lastModifiedBy>雷厉风行</cp:lastModifiedBy>
  <cp:lastPrinted>2021-03-05T05:22:00Z</cp:lastPrinted>
  <dcterms:modified xsi:type="dcterms:W3CDTF">2021-07-19T04:24:03Z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721B2D8139A34EECAB11674ED660E078</vt:lpwstr>
  </property>
</Properties>
</file>