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eastAsia="zh-CN"/>
        </w:rPr>
        <w:t>变压吸附制氧项目桩基检测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31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rPr>
        <w:t>地基基础工程检测资质</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sz w:val="24"/>
          <w:szCs w:val="24"/>
        </w:rPr>
        <w:t>国家</w:t>
      </w:r>
      <w:r>
        <w:rPr>
          <w:rFonts w:hint="eastAsia" w:ascii="宋体" w:hAnsi="宋体"/>
          <w:bCs/>
          <w:color w:val="FF0000"/>
          <w:sz w:val="24"/>
          <w:szCs w:val="24"/>
        </w:rPr>
        <w:t>土木工程师（岩土）</w:t>
      </w:r>
      <w:r>
        <w:rPr>
          <w:rFonts w:hint="eastAsia" w:ascii="宋体" w:hAnsi="宋体"/>
          <w:bCs/>
          <w:sz w:val="24"/>
          <w:szCs w:val="24"/>
        </w:rPr>
        <w:t>注册证书</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变压吸附制氧项目桩基检测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变压吸附制氧项目桩基检测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包含：变压吸附制氧项目</w:t>
      </w:r>
      <w:r>
        <w:rPr>
          <w:rFonts w:hint="eastAsia" w:ascii="宋体" w:hAnsi="宋体"/>
          <w:color w:val="auto"/>
          <w:lang w:eastAsia="zh-CN"/>
        </w:rPr>
        <w:t>桩基检测，</w:t>
      </w:r>
      <w:r>
        <w:rPr>
          <w:rFonts w:hint="eastAsia" w:ascii="宋体" w:hAnsi="宋体"/>
          <w:color w:val="auto"/>
          <w:lang w:val="en-US" w:eastAsia="zh-CN"/>
        </w:rPr>
        <w:t>φ500水泥搅拌桩，采用</w:t>
      </w:r>
      <w:r>
        <w:rPr>
          <w:rFonts w:hint="eastAsia" w:ascii="宋体" w:hAnsi="宋体"/>
          <w:color w:val="auto"/>
        </w:rPr>
        <w:t>复合地基承载力（承载力特征</w:t>
      </w:r>
      <w:r>
        <w:rPr>
          <w:rFonts w:hint="eastAsia" w:ascii="宋体" w:hAnsi="宋体"/>
          <w:color w:val="auto"/>
          <w:lang w:val="en-US" w:eastAsia="zh-CN"/>
        </w:rPr>
        <w:t>值</w:t>
      </w:r>
      <w:r>
        <w:rPr>
          <w:rFonts w:hint="eastAsia" w:ascii="宋体" w:hAnsi="宋体"/>
          <w:color w:val="auto"/>
        </w:rPr>
        <w:t>fspk=1</w:t>
      </w:r>
      <w:r>
        <w:rPr>
          <w:rFonts w:hint="eastAsia" w:ascii="宋体" w:hAnsi="宋体"/>
          <w:color w:val="auto"/>
          <w:lang w:val="en-US" w:eastAsia="zh-CN"/>
        </w:rPr>
        <w:t>3</w:t>
      </w:r>
      <w:r>
        <w:rPr>
          <w:rFonts w:hint="eastAsia" w:ascii="宋体" w:hAnsi="宋体"/>
          <w:color w:val="auto"/>
        </w:rPr>
        <w:t>0kPa）</w:t>
      </w:r>
      <w:r>
        <w:rPr>
          <w:rFonts w:hint="eastAsia" w:ascii="宋体" w:hAnsi="宋体"/>
          <w:color w:val="auto"/>
          <w:lang w:val="en-US" w:eastAsia="zh-CN"/>
        </w:rPr>
        <w:t>约6根</w:t>
      </w:r>
      <w:r>
        <w:rPr>
          <w:rFonts w:hint="eastAsia" w:ascii="宋体" w:hAnsi="宋体"/>
          <w:color w:val="auto"/>
          <w:lang w:eastAsia="zh-CN"/>
        </w:rPr>
        <w:t>，</w:t>
      </w:r>
      <w:r>
        <w:rPr>
          <w:rFonts w:hint="eastAsia" w:ascii="宋体" w:hAnsi="宋体"/>
          <w:color w:val="auto"/>
        </w:rPr>
        <w:t>单桩荷载试验（单桩承载力特征值≥</w:t>
      </w:r>
      <w:r>
        <w:rPr>
          <w:rFonts w:hint="eastAsia" w:ascii="宋体" w:hAnsi="宋体"/>
          <w:color w:val="auto"/>
          <w:lang w:val="en-US" w:eastAsia="zh-CN"/>
        </w:rPr>
        <w:t>9</w:t>
      </w:r>
      <w:r>
        <w:rPr>
          <w:rFonts w:hint="eastAsia" w:ascii="宋体" w:hAnsi="宋体"/>
          <w:color w:val="auto"/>
        </w:rPr>
        <w:t>0KN）</w:t>
      </w:r>
      <w:r>
        <w:rPr>
          <w:rFonts w:hint="eastAsia" w:ascii="宋体" w:hAnsi="宋体"/>
          <w:color w:val="auto"/>
          <w:lang w:eastAsia="zh-CN"/>
        </w:rPr>
        <w:t>约</w:t>
      </w:r>
      <w:r>
        <w:rPr>
          <w:rFonts w:hint="eastAsia" w:ascii="宋体" w:hAnsi="宋体"/>
          <w:color w:val="auto"/>
          <w:lang w:val="en-US" w:eastAsia="zh-CN"/>
        </w:rPr>
        <w:t>5根</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06</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07</w:t>
      </w:r>
      <w:r>
        <w:rPr>
          <w:rFonts w:hint="eastAsia" w:ascii="宋体" w:hAnsi="宋体"/>
          <w:color w:val="auto"/>
        </w:rPr>
        <w:t>月</w:t>
      </w:r>
      <w:r>
        <w:rPr>
          <w:rFonts w:hint="eastAsia" w:ascii="宋体" w:hAnsi="宋体"/>
          <w:color w:val="auto"/>
          <w:lang w:val="en-US" w:eastAsia="zh-CN"/>
        </w:rPr>
        <w:t>05</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20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exact"/>
        <w:rPr>
          <w:rFonts w:hint="eastAsia" w:ascii="宋体" w:hAnsi="宋体"/>
          <w:color w:val="auto"/>
        </w:rPr>
      </w:pPr>
      <w:r>
        <w:rPr>
          <w:rFonts w:hint="eastAsia" w:ascii="宋体" w:hAnsi="宋体"/>
          <w:color w:val="auto"/>
        </w:rPr>
        <w:t>本桩基检测工程按照含税综合单价方式进行报价。</w:t>
      </w:r>
    </w:p>
    <w:p>
      <w:pPr>
        <w:numPr>
          <w:ilvl w:val="0"/>
          <w:numId w:val="2"/>
        </w:numPr>
        <w:spacing w:line="360" w:lineRule="exact"/>
        <w:ind w:left="0" w:leftChars="0" w:firstLine="0" w:firstLineChars="0"/>
        <w:rPr>
          <w:rFonts w:hint="eastAsia" w:ascii="宋体" w:hAnsi="宋体"/>
          <w:color w:val="auto"/>
          <w:lang w:val="en-US" w:eastAsia="zh-CN"/>
        </w:rPr>
      </w:pPr>
      <w:r>
        <w:rPr>
          <w:rFonts w:hint="eastAsia" w:ascii="宋体" w:hAnsi="宋体"/>
          <w:color w:val="auto"/>
        </w:rPr>
        <w:t>结算审核后承包人及时向发包人开具全额增值税专用发票，开具增值税发票执行6%税率</w:t>
      </w:r>
      <w:r>
        <w:rPr>
          <w:rFonts w:hint="eastAsia" w:ascii="宋体" w:hAnsi="宋体"/>
          <w:color w:val="auto"/>
          <w:lang w:val="en-US" w:eastAsia="zh-CN"/>
        </w:rPr>
        <w:t>。</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3.本项目为公开招标，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auto"/>
          <w:lang w:val="en-US" w:eastAsia="zh-CN"/>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color w:val="auto"/>
        </w:rPr>
        <w:t>银行现汇支付。承包人完成桩基检测工作，出正式的检测报告后支付全部检测费用</w:t>
      </w:r>
      <w:r>
        <w:rPr>
          <w:rFonts w:hint="eastAsia" w:ascii="宋体" w:hAnsi="宋体" w:cs="宋体"/>
          <w:color w:val="auto"/>
          <w:lang w:eastAsia="zh-CN"/>
        </w:rPr>
        <w:t>，付款前提供等额增值税专用发票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300" w:lineRule="auto"/>
        <w:jc w:val="center"/>
        <w:rPr>
          <w:rFonts w:ascii="宋体" w:hAnsi="宋体"/>
          <w:b/>
          <w:bCs/>
          <w:sz w:val="36"/>
          <w:szCs w:val="36"/>
          <w:highlight w:val="none"/>
        </w:rPr>
      </w:pPr>
      <w:r>
        <w:rPr>
          <w:rFonts w:hint="eastAsia" w:ascii="宋体" w:hAnsi="宋体"/>
          <w:b/>
          <w:bCs/>
          <w:sz w:val="36"/>
          <w:szCs w:val="36"/>
          <w:highlight w:val="none"/>
          <w:u w:val="single"/>
        </w:rPr>
        <w:t xml:space="preserve"> </w:t>
      </w:r>
      <w:r>
        <w:rPr>
          <w:rFonts w:hint="eastAsia" w:ascii="宋体" w:hAnsi="宋体"/>
          <w:b/>
          <w:bCs/>
          <w:sz w:val="36"/>
          <w:szCs w:val="36"/>
          <w:highlight w:val="none"/>
          <w:u w:val="single"/>
          <w:lang w:val="en-US" w:eastAsia="zh-CN"/>
        </w:rPr>
        <w:t>变压吸附制氧项目桩基检测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1071" w:tblpY="171"/>
        <w:tblOverlap w:val="never"/>
        <w:tblW w:w="4674"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91"/>
        <w:gridCol w:w="2144"/>
        <w:gridCol w:w="773"/>
        <w:gridCol w:w="1084"/>
        <w:gridCol w:w="1004"/>
        <w:gridCol w:w="841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9" w:hRule="atLeast"/>
        </w:trPr>
        <w:tc>
          <w:tcPr>
            <w:tcW w:w="791"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2144"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分项名称</w:t>
            </w:r>
          </w:p>
        </w:tc>
        <w:tc>
          <w:tcPr>
            <w:tcW w:w="773"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图号</w:t>
            </w:r>
          </w:p>
        </w:tc>
        <w:tc>
          <w:tcPr>
            <w:tcW w:w="1084"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004"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暂估工程量</w:t>
            </w:r>
          </w:p>
        </w:tc>
        <w:tc>
          <w:tcPr>
            <w:tcW w:w="8412"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highlight w:val="none"/>
                <w:u w:val="none"/>
                <w:lang w:val="en-US" w:eastAsia="zh-CN" w:bidi="ar"/>
              </w:rPr>
            </w:pPr>
            <w:bookmarkStart w:id="3" w:name="_GoBack"/>
            <w:bookmarkEnd w:id="3"/>
            <w:r>
              <w:rPr>
                <w:rFonts w:hint="eastAsia" w:ascii="宋体" w:hAnsi="宋体" w:eastAsia="宋体" w:cs="宋体"/>
                <w:b/>
                <w:bCs/>
                <w:i w:val="0"/>
                <w:iCs w:val="0"/>
                <w:color w:val="000000"/>
                <w:kern w:val="0"/>
                <w:sz w:val="22"/>
                <w:szCs w:val="22"/>
                <w:highlight w:val="none"/>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63" w:hRule="atLeast"/>
        </w:trPr>
        <w:tc>
          <w:tcPr>
            <w:tcW w:w="791"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214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2"/>
                <w:szCs w:val="22"/>
                <w:highlight w:val="none"/>
              </w:rPr>
            </w:pPr>
            <w:r>
              <w:rPr>
                <w:rFonts w:hint="eastAsia" w:ascii="宋体" w:hAnsi="宋体" w:cs="宋体"/>
                <w:color w:val="000000"/>
                <w:kern w:val="0"/>
                <w:sz w:val="24"/>
                <w:szCs w:val="24"/>
              </w:rPr>
              <w:t>复合地基承载力（承载力特征</w:t>
            </w:r>
            <w:r>
              <w:rPr>
                <w:rFonts w:hint="eastAsia" w:ascii="宋体" w:hAnsi="宋体" w:cs="宋体"/>
                <w:color w:val="000000"/>
                <w:kern w:val="0"/>
                <w:sz w:val="24"/>
                <w:szCs w:val="24"/>
                <w:lang w:val="en-US" w:eastAsia="zh-CN"/>
              </w:rPr>
              <w:t>值</w:t>
            </w:r>
            <w:r>
              <w:rPr>
                <w:rFonts w:hint="eastAsia" w:ascii="宋体" w:hAnsi="宋体" w:cs="宋体"/>
                <w:color w:val="000000"/>
                <w:kern w:val="0"/>
                <w:sz w:val="24"/>
                <w:szCs w:val="24"/>
              </w:rPr>
              <w:t>fspk=1</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0kPa）</w:t>
            </w:r>
          </w:p>
        </w:tc>
        <w:tc>
          <w:tcPr>
            <w:tcW w:w="773" w:type="dxa"/>
            <w:vMerge w:val="restart"/>
            <w:tcBorders>
              <w:top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w:t>
            </w:r>
          </w:p>
        </w:tc>
        <w:tc>
          <w:tcPr>
            <w:tcW w:w="108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根</w:t>
            </w:r>
          </w:p>
        </w:tc>
        <w:tc>
          <w:tcPr>
            <w:tcW w:w="100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6</w:t>
            </w:r>
          </w:p>
        </w:tc>
        <w:tc>
          <w:tcPr>
            <w:tcW w:w="841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拦标价：</w:t>
            </w:r>
            <w:r>
              <w:rPr>
                <w:rFonts w:hint="eastAsia" w:ascii="宋体" w:hAnsi="宋体" w:cs="宋体"/>
                <w:i w:val="0"/>
                <w:iCs w:val="0"/>
                <w:color w:val="auto"/>
                <w:kern w:val="0"/>
                <w:sz w:val="22"/>
                <w:szCs w:val="22"/>
                <w:highlight w:val="none"/>
                <w:u w:val="none"/>
                <w:lang w:val="en-US" w:eastAsia="zh-CN" w:bidi="ar"/>
              </w:rPr>
              <w:t>4000</w:t>
            </w:r>
            <w:r>
              <w:rPr>
                <w:rFonts w:hint="eastAsia" w:ascii="宋体" w:hAnsi="宋体" w:eastAsia="宋体" w:cs="宋体"/>
                <w:i w:val="0"/>
                <w:iCs w:val="0"/>
                <w:color w:val="auto"/>
                <w:kern w:val="0"/>
                <w:sz w:val="22"/>
                <w:szCs w:val="22"/>
                <w:highlight w:val="none"/>
                <w:u w:val="none"/>
                <w:lang w:val="en-US" w:eastAsia="zh-CN" w:bidi="ar"/>
              </w:rPr>
              <w:t>元/根。包括加载、卸载、记录、数据分析、报告编写</w:t>
            </w:r>
            <w:r>
              <w:rPr>
                <w:rFonts w:hint="eastAsia" w:ascii="宋体" w:hAnsi="宋体" w:eastAsia="宋体" w:cs="宋体"/>
                <w:i w:val="0"/>
                <w:iCs w:val="0"/>
                <w:color w:val="auto"/>
                <w:kern w:val="0"/>
                <w:sz w:val="21"/>
                <w:szCs w:val="21"/>
                <w:u w:val="none"/>
                <w:lang w:val="en-US" w:eastAsia="zh-CN" w:bidi="ar"/>
              </w:rPr>
              <w:t>等工序的人工费、材料费、机械费、水电费、税金等所有费用</w:t>
            </w:r>
            <w:r>
              <w:rPr>
                <w:rFonts w:hint="eastAsia"/>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74" w:hRule="atLeast"/>
        </w:trPr>
        <w:tc>
          <w:tcPr>
            <w:tcW w:w="791"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21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4"/>
                <w:szCs w:val="24"/>
              </w:rPr>
              <w:t>单桩荷载试验（单桩承载力特征值≥</w:t>
            </w:r>
            <w:r>
              <w:rPr>
                <w:rFonts w:hint="eastAsia" w:ascii="宋体" w:hAnsi="宋体" w:cs="宋体"/>
                <w:color w:val="0000FF"/>
                <w:kern w:val="0"/>
                <w:sz w:val="24"/>
                <w:szCs w:val="24"/>
                <w:lang w:val="en-US" w:eastAsia="zh-CN"/>
              </w:rPr>
              <w:t>9</w:t>
            </w:r>
            <w:r>
              <w:rPr>
                <w:rFonts w:hint="eastAsia" w:ascii="宋体" w:hAnsi="宋体" w:cs="宋体"/>
                <w:color w:val="0000FF"/>
                <w:kern w:val="0"/>
                <w:sz w:val="24"/>
                <w:szCs w:val="24"/>
              </w:rPr>
              <w:t>0KN）</w:t>
            </w:r>
          </w:p>
        </w:tc>
        <w:tc>
          <w:tcPr>
            <w:tcW w:w="773" w:type="dxa"/>
            <w:vMerge w:val="continue"/>
            <w:tcBorders>
              <w:right w:val="single" w:color="auto" w:sz="4" w:space="0"/>
            </w:tcBorders>
            <w:vAlign w:val="center"/>
          </w:tcPr>
          <w:p>
            <w:pPr>
              <w:jc w:val="center"/>
              <w:rPr>
                <w:rFonts w:hint="eastAsia" w:ascii="宋体" w:hAnsi="宋体" w:eastAsia="宋体" w:cs="宋体"/>
                <w:i w:val="0"/>
                <w:color w:val="000000"/>
                <w:kern w:val="0"/>
                <w:sz w:val="22"/>
                <w:szCs w:val="22"/>
                <w:highlight w:val="none"/>
                <w:u w:val="none"/>
                <w:lang w:val="en-US" w:eastAsia="zh-CN" w:bidi="ar"/>
              </w:rPr>
            </w:pP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根</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highlight w:val="none"/>
                <w:u w:val="none"/>
                <w:lang w:val="en-US" w:eastAsia="zh-CN" w:bidi="ar"/>
              </w:rPr>
              <w:t>5</w:t>
            </w:r>
          </w:p>
        </w:tc>
        <w:tc>
          <w:tcPr>
            <w:tcW w:w="8412" w:type="dxa"/>
            <w:tcBorders>
              <w:top w:val="single" w:color="auto" w:sz="4" w:space="0"/>
              <w:left w:val="single" w:color="auto" w:sz="4" w:space="0"/>
              <w:bottom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拦标价：</w:t>
            </w:r>
            <w:r>
              <w:rPr>
                <w:rFonts w:hint="eastAsia" w:ascii="宋体" w:hAnsi="宋体" w:cs="宋体"/>
                <w:i w:val="0"/>
                <w:iCs w:val="0"/>
                <w:color w:val="auto"/>
                <w:kern w:val="0"/>
                <w:sz w:val="22"/>
                <w:szCs w:val="22"/>
                <w:highlight w:val="none"/>
                <w:u w:val="none"/>
                <w:lang w:val="en-US" w:eastAsia="zh-CN" w:bidi="ar"/>
              </w:rPr>
              <w:t>4000</w:t>
            </w:r>
            <w:r>
              <w:rPr>
                <w:rFonts w:hint="eastAsia" w:ascii="宋体" w:hAnsi="宋体" w:eastAsia="宋体" w:cs="宋体"/>
                <w:i w:val="0"/>
                <w:iCs w:val="0"/>
                <w:color w:val="auto"/>
                <w:kern w:val="0"/>
                <w:sz w:val="22"/>
                <w:szCs w:val="22"/>
                <w:u w:val="none"/>
                <w:lang w:val="en-US" w:eastAsia="zh-CN" w:bidi="ar"/>
              </w:rPr>
              <w:t>元/</w:t>
            </w:r>
            <w:r>
              <w:rPr>
                <w:rFonts w:hint="eastAsia" w:ascii="宋体" w:hAnsi="宋体" w:cs="宋体"/>
                <w:i w:val="0"/>
                <w:iCs w:val="0"/>
                <w:color w:val="auto"/>
                <w:kern w:val="0"/>
                <w:sz w:val="22"/>
                <w:szCs w:val="22"/>
                <w:u w:val="none"/>
                <w:lang w:val="en-US" w:eastAsia="zh-CN" w:bidi="ar"/>
              </w:rPr>
              <w:t>根</w:t>
            </w:r>
            <w:r>
              <w:rPr>
                <w:rFonts w:hint="eastAsia" w:ascii="宋体" w:hAnsi="宋体" w:eastAsia="宋体" w:cs="宋体"/>
                <w:i w:val="0"/>
                <w:iCs w:val="0"/>
                <w:color w:val="auto"/>
                <w:kern w:val="0"/>
                <w:sz w:val="22"/>
                <w:szCs w:val="22"/>
                <w:highlight w:val="none"/>
                <w:u w:val="none"/>
                <w:lang w:val="en-US" w:eastAsia="zh-CN" w:bidi="ar"/>
              </w:rPr>
              <w:t>。包括加载、卸载、记录、数据分析、报告编写</w:t>
            </w:r>
            <w:r>
              <w:rPr>
                <w:rFonts w:hint="eastAsia" w:ascii="宋体" w:hAnsi="宋体" w:eastAsia="宋体" w:cs="宋体"/>
                <w:i w:val="0"/>
                <w:iCs w:val="0"/>
                <w:color w:val="auto"/>
                <w:kern w:val="0"/>
                <w:sz w:val="21"/>
                <w:szCs w:val="21"/>
                <w:u w:val="none"/>
                <w:lang w:val="en-US" w:eastAsia="zh-CN" w:bidi="ar"/>
              </w:rPr>
              <w:t>等工序的人工费、材料费、机械费、水电费、税金等所有费用</w:t>
            </w:r>
            <w:r>
              <w:rPr>
                <w:rFonts w:hint="eastAsia"/>
                <w:color w:val="auto"/>
                <w:kern w:val="0"/>
                <w:szCs w:val="21"/>
                <w:lang w:eastAsia="zh-CN"/>
              </w:rPr>
              <w:t>。</w:t>
            </w:r>
          </w:p>
        </w:tc>
      </w:tr>
    </w:tbl>
    <w:p>
      <w:pPr>
        <w:tabs>
          <w:tab w:val="left" w:pos="720"/>
          <w:tab w:val="left" w:pos="7200"/>
        </w:tabs>
        <w:snapToGrid w:val="0"/>
        <w:spacing w:line="240" w:lineRule="auto"/>
        <w:ind w:firstLine="181" w:firstLineChars="100"/>
        <w:rPr>
          <w:b/>
          <w:color w:val="auto"/>
          <w:sz w:val="18"/>
          <w:szCs w:val="18"/>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1887C"/>
    <w:multiLevelType w:val="singleLevel"/>
    <w:tmpl w:val="CD91887C"/>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pPr>
        <w:ind w:left="0" w:firstLine="0"/>
      </w:pPr>
    </w:lvl>
  </w:abstractNum>
  <w:abstractNum w:abstractNumId="2">
    <w:nsid w:val="FCD221E2"/>
    <w:multiLevelType w:val="singleLevel"/>
    <w:tmpl w:val="FCD221E2"/>
    <w:lvl w:ilvl="0" w:tentative="0">
      <w:start w:val="11"/>
      <w:numFmt w:val="chineseCounting"/>
      <w:suff w:val="nothing"/>
      <w:lvlText w:val="%1、"/>
      <w:lvlJc w:val="left"/>
      <w:rPr>
        <w:rFonts w:hint="eastAsia"/>
      </w:rPr>
    </w:lvl>
  </w:abstractNum>
  <w:abstractNum w:abstractNumId="3">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6">
    <w:nsid w:val="2A3C6F81"/>
    <w:multiLevelType w:val="singleLevel"/>
    <w:tmpl w:val="2A3C6F81"/>
    <w:lvl w:ilvl="0" w:tentative="0">
      <w:start w:val="1"/>
      <w:numFmt w:val="decimal"/>
      <w:lvlText w:val="%1."/>
      <w:lvlJc w:val="left"/>
      <w:pPr>
        <w:ind w:left="425" w:hanging="425"/>
      </w:pPr>
      <w:rPr>
        <w:rFonts w:hint="default"/>
      </w:rPr>
    </w:lvl>
  </w:abstractNum>
  <w:abstractNum w:abstractNumId="7">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5"/>
  </w:num>
  <w:num w:numId="4">
    <w:abstractNumId w:val="3"/>
  </w:num>
  <w:num w:numId="5">
    <w:abstractNumId w:val="6"/>
  </w:num>
  <w:num w:numId="6">
    <w:abstractNumId w:val="2"/>
  </w:num>
  <w:num w:numId="7">
    <w:abstractNumId w:val="1"/>
    <w:lvlOverride w:ilvl="0">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1470F"/>
    <w:rsid w:val="0A047221"/>
    <w:rsid w:val="0A0901C8"/>
    <w:rsid w:val="0B4A7DF3"/>
    <w:rsid w:val="0BB21CA6"/>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466B59"/>
    <w:rsid w:val="29AB06DF"/>
    <w:rsid w:val="29EF4459"/>
    <w:rsid w:val="2A62363C"/>
    <w:rsid w:val="2AFF2879"/>
    <w:rsid w:val="2C604D81"/>
    <w:rsid w:val="2CA46661"/>
    <w:rsid w:val="2FFE36B1"/>
    <w:rsid w:val="310A5319"/>
    <w:rsid w:val="326329B3"/>
    <w:rsid w:val="34481C4C"/>
    <w:rsid w:val="364C51F0"/>
    <w:rsid w:val="37CA36AB"/>
    <w:rsid w:val="386D04A2"/>
    <w:rsid w:val="38B06070"/>
    <w:rsid w:val="39913532"/>
    <w:rsid w:val="3A100A0A"/>
    <w:rsid w:val="3A9E2574"/>
    <w:rsid w:val="3B9F0063"/>
    <w:rsid w:val="3C062CAD"/>
    <w:rsid w:val="3D4C3271"/>
    <w:rsid w:val="3D5977E3"/>
    <w:rsid w:val="400A7CF7"/>
    <w:rsid w:val="40A32F20"/>
    <w:rsid w:val="41732DCB"/>
    <w:rsid w:val="42B5472A"/>
    <w:rsid w:val="467B56CD"/>
    <w:rsid w:val="47807B49"/>
    <w:rsid w:val="4786146B"/>
    <w:rsid w:val="48664A2F"/>
    <w:rsid w:val="49806F97"/>
    <w:rsid w:val="4A1D777A"/>
    <w:rsid w:val="4BEB70CE"/>
    <w:rsid w:val="4C2439BA"/>
    <w:rsid w:val="4C6D4D7D"/>
    <w:rsid w:val="4C6F1F1E"/>
    <w:rsid w:val="4CC46B42"/>
    <w:rsid w:val="4EF83610"/>
    <w:rsid w:val="4F214CC8"/>
    <w:rsid w:val="4FC1072C"/>
    <w:rsid w:val="51C85998"/>
    <w:rsid w:val="526A207D"/>
    <w:rsid w:val="53966193"/>
    <w:rsid w:val="54DA0463"/>
    <w:rsid w:val="558D3BDC"/>
    <w:rsid w:val="56266223"/>
    <w:rsid w:val="56F435CB"/>
    <w:rsid w:val="57181B7C"/>
    <w:rsid w:val="579A163B"/>
    <w:rsid w:val="58251DDC"/>
    <w:rsid w:val="58F51143"/>
    <w:rsid w:val="5953468B"/>
    <w:rsid w:val="59677B0A"/>
    <w:rsid w:val="59A06F0E"/>
    <w:rsid w:val="5A971EF5"/>
    <w:rsid w:val="5ACF5D45"/>
    <w:rsid w:val="5C515AA2"/>
    <w:rsid w:val="5CA97B29"/>
    <w:rsid w:val="5D634D0C"/>
    <w:rsid w:val="5E513B46"/>
    <w:rsid w:val="5F533CAB"/>
    <w:rsid w:val="60692660"/>
    <w:rsid w:val="607B250C"/>
    <w:rsid w:val="62B532A4"/>
    <w:rsid w:val="65100BCA"/>
    <w:rsid w:val="66296C18"/>
    <w:rsid w:val="67B90FFF"/>
    <w:rsid w:val="67E85B48"/>
    <w:rsid w:val="68BB783B"/>
    <w:rsid w:val="6998730F"/>
    <w:rsid w:val="6BFA79CF"/>
    <w:rsid w:val="6CDE16B5"/>
    <w:rsid w:val="6DF65BBA"/>
    <w:rsid w:val="6EE72E54"/>
    <w:rsid w:val="6F286C4E"/>
    <w:rsid w:val="711D243B"/>
    <w:rsid w:val="71A34979"/>
    <w:rsid w:val="7220730D"/>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5082</Words>
  <Characters>5372</Characters>
  <Lines>80</Lines>
  <Paragraphs>22</Paragraphs>
  <TotalTime>0</TotalTime>
  <ScaleCrop>false</ScaleCrop>
  <LinksUpToDate>false</LinksUpToDate>
  <CharactersWithSpaces>5764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2022-05-31T08:06:33Z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