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厂内使用挖掘机、装载机项目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2021</w:t>
      </w:r>
      <w:r>
        <w:rPr>
          <w:rFonts w:ascii="宋体" w:hAnsi="宋体"/>
        </w:rPr>
        <w:t>年</w:t>
      </w:r>
      <w:r>
        <w:rPr>
          <w:rFonts w:hint="eastAsia" w:ascii="宋体" w:hAnsi="宋体"/>
          <w:lang w:val="en-US" w:eastAsia="zh-CN"/>
        </w:rPr>
        <w:t>5</w:t>
      </w:r>
      <w:r>
        <w:rPr>
          <w:rFonts w:ascii="宋体" w:hAnsi="宋体"/>
          <w:color w:val="000000"/>
        </w:rPr>
        <w:t>月</w:t>
      </w:r>
      <w:r>
        <w:rPr>
          <w:rFonts w:hint="eastAsia" w:ascii="宋体" w:hAnsi="宋体"/>
          <w:color w:val="000000"/>
          <w:lang w:val="en-US" w:eastAsia="zh-CN"/>
        </w:rPr>
        <w:t>24</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YSQC202106006CNSYWJJZZJXM</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厂内使用挖掘机、装载机项目</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厂内使用挖掘机、装载机项目，分标段：</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标段一：</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1、炼铁部综合料场（1#-5#料场）、块矿烘干场地、后期新增料场的原燃料打堆、混料、积料清理等。24小时作业，195型以上挖掘机4台，挖机转场作业需承揽单位自备运输车辆，每月不超30次。</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2、炼铁部铸铁扣罐及高炉、临时破铁重锤区域处理大块渣铁及罐子结盖。24小时作业，195型以上挖掘机1台，需配风镐头。</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标段二：</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1、炼钢部转炉炉坑清理、精炼炉炉坑清理、废钢清理及零星工作。24小时作业，195型以上挖掘机2台，其中1台需配风镐头。</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2、炼钢部棒磨车间喂料、硬块破碎、装车及零星工作。24小时作业，195型以上挖掘机1台。</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标段三：</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厂内临时用挖机（195型以上配风镐头挖掘机、195型以上挖掘机、70型配风镐头挖掘机、70型挖掘机，微型挖机1.5-2.5吨）。</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标段四：</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1、炼铁部白灰工部原料打堆、石灰石筛下物装车及临时性项目作业。24小时作业，50型装载机1台。</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2、炼铁部铸铁区域作业、协助高炉供料作业及其他临时作业用车。24小时作业，50型装载机1台）。</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3、炼铁部原燃料供料、积料清理及临时性作业用车。50型装载机2台，白班2台，夜班1台</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4、厂内临时用装载机（50型装载机1台）。</w:t>
      </w:r>
    </w:p>
    <w:p>
      <w:pPr>
        <w:spacing w:line="240" w:lineRule="auto"/>
        <w:ind w:firstLine="600"/>
        <w:rPr>
          <w:rFonts w:hint="eastAsia" w:ascii="宋体" w:hAnsi="宋体"/>
          <w:b w:val="0"/>
          <w:bCs/>
          <w:color w:val="auto"/>
          <w:lang w:val="en-US" w:eastAsia="zh-CN"/>
        </w:rPr>
      </w:pPr>
      <w:r>
        <w:rPr>
          <w:rFonts w:hint="eastAsia" w:ascii="宋体" w:hAnsi="宋体"/>
          <w:b w:val="0"/>
          <w:bCs/>
          <w:color w:val="auto"/>
          <w:lang w:val="en-US" w:eastAsia="zh-CN"/>
        </w:rPr>
        <w:t>标段五：</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钢渣及其磁选产品（精粉、粒子钢、片钢）及尾渣装车倒运、场地清理；转炉炉坑钢渣清理、渣场钢渣及辅料装车、中包垃圾清理及零星工作。24小时作业，3台50型装载机（棒磨车间1台；炼钢车间2台，车轮需要装防滑链）。</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6</w:t>
      </w:r>
      <w:r>
        <w:rPr>
          <w:rFonts w:ascii="宋体" w:hAnsi="宋体"/>
          <w:b w:val="0"/>
          <w:bCs/>
          <w:color w:val="auto"/>
        </w:rPr>
        <w:t>月</w:t>
      </w:r>
      <w:r>
        <w:rPr>
          <w:rFonts w:hint="eastAsia" w:ascii="宋体" w:hAnsi="宋体"/>
          <w:b w:val="0"/>
          <w:bCs/>
          <w:color w:val="auto"/>
          <w:u w:val="single"/>
          <w:lang w:val="en-US" w:eastAsia="zh-CN"/>
        </w:rPr>
        <w:t>11</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6</w:t>
      </w:r>
      <w:r>
        <w:rPr>
          <w:rFonts w:ascii="宋体" w:hAnsi="宋体"/>
          <w:b w:val="0"/>
          <w:bCs/>
          <w:color w:val="auto"/>
        </w:rPr>
        <w:t>月</w:t>
      </w:r>
      <w:r>
        <w:rPr>
          <w:rFonts w:hint="eastAsia" w:ascii="宋体" w:hAnsi="宋体"/>
          <w:b w:val="0"/>
          <w:bCs/>
          <w:color w:val="auto"/>
          <w:u w:val="single"/>
          <w:lang w:val="en-US" w:eastAsia="zh-CN"/>
        </w:rPr>
        <w:t>16</w:t>
      </w:r>
      <w:r>
        <w:rPr>
          <w:rFonts w:ascii="宋体" w:hAnsi="宋体"/>
          <w:b w:val="0"/>
          <w:bCs/>
          <w:color w:val="auto"/>
        </w:rPr>
        <w:t>日</w:t>
      </w:r>
      <w:r>
        <w:rPr>
          <w:rFonts w:hint="eastAsia" w:ascii="宋体" w:hAnsi="宋体"/>
          <w:b w:val="0"/>
          <w:bCs/>
          <w:color w:val="auto"/>
          <w:u w:val="single"/>
          <w:lang w:val="en-US" w:eastAsia="zh-CN"/>
        </w:rPr>
        <w:t>13:30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壹拾万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2021</w:t>
      </w:r>
      <w:r>
        <w:rPr>
          <w:rFonts w:hint="eastAsia" w:ascii="宋体" w:hAnsi="宋体"/>
          <w:bCs/>
          <w:color w:val="7030A0"/>
        </w:rPr>
        <w:t>年</w:t>
      </w:r>
      <w:r>
        <w:rPr>
          <w:rFonts w:hint="eastAsia" w:ascii="宋体" w:hAnsi="宋体"/>
          <w:bCs/>
          <w:color w:val="7030A0"/>
          <w:lang w:val="en-US" w:eastAsia="zh-CN"/>
        </w:rPr>
        <w:t>6</w:t>
      </w:r>
      <w:r>
        <w:rPr>
          <w:rFonts w:hint="eastAsia" w:ascii="宋体" w:hAnsi="宋体"/>
          <w:bCs/>
          <w:color w:val="7030A0"/>
        </w:rPr>
        <w:t>月</w:t>
      </w:r>
      <w:r>
        <w:rPr>
          <w:rFonts w:hint="eastAsia" w:ascii="宋体" w:hAnsi="宋体"/>
          <w:bCs/>
          <w:color w:val="7030A0"/>
          <w:u w:val="single"/>
          <w:lang w:val="en-US" w:eastAsia="zh-CN"/>
        </w:rPr>
        <w:t>11</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r>
        <w:rPr>
          <w:rFonts w:hint="eastAsia" w:ascii="宋体" w:hAnsi="宋体"/>
          <w:bCs/>
          <w:lang w:eastAsia="zh-CN"/>
        </w:rPr>
        <w:t>。</w:t>
      </w:r>
      <w:r>
        <w:rPr>
          <w:rFonts w:hint="eastAsia" w:ascii="宋体" w:hAnsi="宋体"/>
          <w:bCs/>
          <w:lang w:val="en-US" w:eastAsia="zh-CN"/>
        </w:rPr>
        <w:t>标书需胶装</w:t>
      </w:r>
      <w:r>
        <w:rPr>
          <w:rFonts w:hint="eastAsia" w:ascii="宋体" w:hAnsi="宋体"/>
          <w:bCs/>
        </w:rPr>
        <w:t>。</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1、投标方报标段一或标段二时，必须要报标段三。</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2、承揽单位应具备独立承担安全事故风险的经济实力,须向芜湖新兴铸管缴纳安全保障金60万元人民币，应在合同履行前10日从其基本账户转出；须为作业人员购买保险，保额不低于60万元人民币；满 55 周岁的人员不得进入我公司从事作业活动。</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揽单位必须具备24小时服务能力，配备足够作业人员，合理安排班次，作业人员不得疲劳作业，班次调整时不得连续24小时作业。承揽单位应对其作业人员进行与业务相关的安全培训和教育，作业人员上岗前需接受芜湖新兴的安全培训和教育。</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4、挖机、铲车要达到国三排放标准，进厂前需完成环保喷码，并根据芜湖新兴的要求提供排放合格的检测报告。挖机需转场作业时，承揽单位自行安排车辆运输。</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5、承揽单位作业人员、车辆应在合同履行前5日全部到位，以完成人员培训、人员进厂手续及车辆进厂手续等。</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作业期间，因承揽单位自身原因导致安全事故的，由承揽单位自行处理并承担责任，芜湖新兴铸管不负担相关赔偿、补偿责任。事故处理过程中，承揽单位推诿承担责任或难以承担责任时，芜湖新兴铸管以60万元安全保障金及双方发生的业务结算费用协调处理已发生的事故。</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7、作业期间，因承揽单位自身原因造成芜湖新兴铸管经济损失的，承揽单位应予赔偿。</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8、合同履约保证金为5万元人民币，承揽单位应在合同履行前从其基本账户转出。  </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9、在合同履行中，承揽单位必须遵守芜湖新兴的安全、生产、物流、环保、质量、现场、车辆交通等规章制度。如违反相关规章制度，芜湖新兴将依据规章制度要求给予考核。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10、合同签订后，因国家政策、芜湖新兴生产经营等客观情况发生较大变化确需改动的，双方可根据具体情况协商解决；协商不成的，可终止合同。</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11、结算方式：按月结算，收票次月付款（转账或现汇）。</w:t>
      </w:r>
    </w:p>
    <w:p>
      <w:pPr>
        <w:spacing w:line="240" w:lineRule="auto"/>
        <w:rPr>
          <w:rFonts w:hint="eastAsia" w:ascii="宋体" w:hAnsi="宋体"/>
          <w:b/>
          <w:color w:val="auto"/>
          <w:sz w:val="24"/>
          <w:szCs w:val="24"/>
          <w:lang w:val="en-US" w:eastAsia="zh-CN"/>
        </w:rPr>
      </w:pPr>
      <w:r>
        <w:rPr>
          <w:rFonts w:hint="eastAsia" w:ascii="宋体" w:hAnsi="宋体" w:eastAsia="宋体" w:cs="宋体"/>
          <w:color w:val="auto"/>
          <w:sz w:val="24"/>
          <w:szCs w:val="24"/>
          <w:lang w:val="en-US" w:eastAsia="zh-CN"/>
        </w:rPr>
        <w:t>12、合同期：2021年6月28日至2021年12月28日。</w:t>
      </w:r>
    </w:p>
    <w:p>
      <w:pPr>
        <w:spacing w:line="240" w:lineRule="auto"/>
        <w:rPr>
          <w:rFonts w:hint="eastAsia" w:ascii="宋体" w:hAnsi="宋体"/>
          <w:b/>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color w:val="000000"/>
          <w:sz w:val="24"/>
          <w:szCs w:val="24"/>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宋体" w:hAnsi="宋体" w:cs="宋体"/>
          <w:color w:val="auto"/>
          <w:kern w:val="2"/>
          <w:sz w:val="24"/>
          <w:szCs w:val="22"/>
          <w:lang w:val="en-US" w:eastAsia="zh-CN"/>
        </w:rPr>
      </w:pPr>
      <w:r>
        <w:rPr>
          <w:rFonts w:hint="eastAsia" w:ascii="Times New Roman" w:hAnsi="Times New Roman" w:cs="Times New Roman"/>
          <w:kern w:val="2"/>
          <w:sz w:val="28"/>
          <w:szCs w:val="24"/>
          <w:u w:val="none"/>
          <w:lang w:eastAsia="zh-CN"/>
        </w:rPr>
        <w:t>报价表（</w:t>
      </w:r>
      <w:r>
        <w:rPr>
          <w:rFonts w:hint="eastAsia" w:ascii="Times New Roman" w:hAnsi="Times New Roman" w:cs="Times New Roman"/>
          <w:kern w:val="2"/>
          <w:sz w:val="21"/>
          <w:szCs w:val="20"/>
          <w:u w:val="none"/>
          <w:lang w:eastAsia="zh-CN"/>
        </w:rPr>
        <w:t>不含税，适用税率</w:t>
      </w:r>
      <w:r>
        <w:rPr>
          <w:rFonts w:hint="eastAsia" w:ascii="Times New Roman" w:hAnsi="Times New Roman" w:cs="Times New Roman"/>
          <w:kern w:val="2"/>
          <w:sz w:val="21"/>
          <w:szCs w:val="20"/>
          <w:u w:val="single"/>
          <w:lang w:val="en-US" w:eastAsia="zh-CN"/>
        </w:rPr>
        <w:t xml:space="preserve">    </w:t>
      </w:r>
      <w:r>
        <w:rPr>
          <w:rFonts w:hint="eastAsia" w:ascii="Times New Roman" w:hAnsi="Times New Roman" w:cs="Times New Roman"/>
          <w:kern w:val="2"/>
          <w:sz w:val="28"/>
          <w:szCs w:val="24"/>
          <w:u w:val="none"/>
          <w:lang w:eastAsia="zh-CN"/>
        </w:rPr>
        <w:t>）</w:t>
      </w:r>
    </w:p>
    <w:tbl>
      <w:tblPr>
        <w:tblStyle w:val="8"/>
        <w:tblW w:w="11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305"/>
        <w:gridCol w:w="1917"/>
        <w:gridCol w:w="3000"/>
        <w:gridCol w:w="1084"/>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标段</w:t>
            </w:r>
          </w:p>
        </w:tc>
        <w:tc>
          <w:tcPr>
            <w:tcW w:w="33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项目</w:t>
            </w:r>
          </w:p>
        </w:tc>
        <w:tc>
          <w:tcPr>
            <w:tcW w:w="19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车型</w:t>
            </w:r>
          </w:p>
        </w:tc>
        <w:tc>
          <w:tcPr>
            <w:tcW w:w="3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结算方式</w:t>
            </w:r>
          </w:p>
        </w:tc>
        <w:tc>
          <w:tcPr>
            <w:tcW w:w="10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单价   </w:t>
            </w:r>
          </w:p>
        </w:tc>
        <w:tc>
          <w:tcPr>
            <w:tcW w:w="10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4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w:t>
            </w:r>
          </w:p>
        </w:tc>
        <w:tc>
          <w:tcPr>
            <w:tcW w:w="33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炼铁部综合料场（1#-5#料场）及块矿烘干场地的原燃料打堆、混料、积料清理等</w:t>
            </w:r>
          </w:p>
        </w:tc>
        <w:tc>
          <w:tcPr>
            <w:tcW w:w="19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195型以上挖掘机（4台）</w:t>
            </w:r>
          </w:p>
        </w:tc>
        <w:tc>
          <w:tcPr>
            <w:tcW w:w="3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费用=烧结毛矿产量*单价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烧结毛矿产量约47万吨/月</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 xml:space="preserve">  </w:t>
            </w:r>
            <w:r>
              <w:rPr>
                <w:rFonts w:hint="eastAsia" w:ascii="宋体" w:hAnsi="宋体" w:eastAsia="宋体" w:cs="宋体"/>
                <w:color w:val="auto"/>
                <w:sz w:val="18"/>
                <w:szCs w:val="18"/>
                <w:vertAlign w:val="baseline"/>
                <w:lang w:val="en-US" w:eastAsia="zh-CN"/>
              </w:rPr>
              <w:t>元/吨</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p>
        </w:tc>
        <w:tc>
          <w:tcPr>
            <w:tcW w:w="33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炼铁铸铁扣罐区域处理大块渣铁及罐子结盖</w:t>
            </w:r>
          </w:p>
        </w:tc>
        <w:tc>
          <w:tcPr>
            <w:tcW w:w="19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195型以上挖掘机（1台，需配镐头）</w:t>
            </w:r>
          </w:p>
        </w:tc>
        <w:tc>
          <w:tcPr>
            <w:tcW w:w="3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费用=铁水产量*单价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铁水产量约25万吨/月</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 xml:space="preserve">  </w:t>
            </w:r>
            <w:r>
              <w:rPr>
                <w:rFonts w:hint="eastAsia" w:ascii="宋体" w:hAnsi="宋体" w:eastAsia="宋体" w:cs="宋体"/>
                <w:color w:val="auto"/>
                <w:sz w:val="18"/>
                <w:szCs w:val="18"/>
                <w:vertAlign w:val="baseline"/>
                <w:lang w:val="en-US" w:eastAsia="zh-CN"/>
              </w:rPr>
              <w:t>元/吨</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41" w:type="dxa"/>
            <w:noWrap w:val="0"/>
            <w:vAlign w:val="center"/>
          </w:tcPr>
          <w:p>
            <w:pPr>
              <w:kinsoku/>
              <w:autoSpaceDE/>
              <w:autoSpaceDN w:val="0"/>
              <w:spacing w:line="240" w:lineRule="auto"/>
              <w:jc w:val="center"/>
              <w:textAlignment w:val="center"/>
              <w:rPr>
                <w:rFonts w:hint="eastAsia" w:ascii="宋体" w:hAnsi="宋体" w:eastAsia="宋体" w:cs="宋体"/>
                <w:color w:val="auto"/>
                <w:sz w:val="18"/>
                <w:szCs w:val="18"/>
                <w:vertAlign w:val="baseline"/>
                <w:lang w:val="en-US" w:eastAsia="zh-CN"/>
              </w:rPr>
            </w:pPr>
          </w:p>
        </w:tc>
        <w:tc>
          <w:tcPr>
            <w:tcW w:w="3305" w:type="dxa"/>
            <w:noWrap w:val="0"/>
            <w:vAlign w:val="center"/>
          </w:tcPr>
          <w:p>
            <w:pPr>
              <w:kinsoku/>
              <w:autoSpaceDE/>
              <w:autoSpaceDN w:val="0"/>
              <w:spacing w:line="240" w:lineRule="auto"/>
              <w:jc w:val="center"/>
              <w:textAlignment w:val="center"/>
              <w:rPr>
                <w:rFonts w:hint="default" w:ascii="宋体" w:hAnsi="宋体" w:eastAsia="宋体" w:cs="宋体"/>
                <w:b w:val="0"/>
                <w:i w:val="0"/>
                <w:snapToGrid/>
                <w:color w:val="auto"/>
                <w:sz w:val="18"/>
                <w:szCs w:val="18"/>
                <w:u w:val="none"/>
                <w:lang w:val="en-US" w:eastAsia="zh-CN"/>
              </w:rPr>
            </w:pPr>
            <w:r>
              <w:rPr>
                <w:rFonts w:hint="eastAsia" w:ascii="宋体" w:hAnsi="宋体" w:cs="宋体"/>
                <w:b w:val="0"/>
                <w:i w:val="0"/>
                <w:snapToGrid/>
                <w:color w:val="auto"/>
                <w:sz w:val="18"/>
                <w:szCs w:val="18"/>
                <w:u w:val="none"/>
                <w:lang w:val="en-US" w:eastAsia="zh-CN"/>
              </w:rPr>
              <w:t>总计：</w:t>
            </w:r>
          </w:p>
        </w:tc>
        <w:tc>
          <w:tcPr>
            <w:tcW w:w="1917" w:type="dxa"/>
            <w:noWrap w:val="0"/>
            <w:vAlign w:val="center"/>
          </w:tcPr>
          <w:p>
            <w:pPr>
              <w:kinsoku/>
              <w:autoSpaceDE/>
              <w:autoSpaceDN w:val="0"/>
              <w:spacing w:line="240" w:lineRule="auto"/>
              <w:jc w:val="center"/>
              <w:textAlignment w:val="center"/>
              <w:rPr>
                <w:rFonts w:hint="eastAsia" w:ascii="宋体" w:hAnsi="宋体" w:eastAsia="宋体" w:cs="宋体"/>
                <w:b w:val="0"/>
                <w:i w:val="0"/>
                <w:snapToGrid/>
                <w:color w:val="auto"/>
                <w:sz w:val="18"/>
                <w:szCs w:val="18"/>
                <w:u w:val="none"/>
                <w:lang w:eastAsia="zh-CN"/>
              </w:rPr>
            </w:pPr>
          </w:p>
        </w:tc>
        <w:tc>
          <w:tcPr>
            <w:tcW w:w="3000" w:type="dxa"/>
            <w:noWrap w:val="0"/>
            <w:vAlign w:val="center"/>
          </w:tcPr>
          <w:p>
            <w:pPr>
              <w:kinsoku/>
              <w:autoSpaceDE/>
              <w:autoSpaceDN w:val="0"/>
              <w:spacing w:line="240" w:lineRule="auto"/>
              <w:jc w:val="center"/>
              <w:textAlignment w:val="center"/>
              <w:rPr>
                <w:rFonts w:hint="eastAsia" w:ascii="宋体" w:hAnsi="宋体" w:eastAsia="宋体" w:cs="宋体"/>
                <w:b w:val="0"/>
                <w:i w:val="0"/>
                <w:snapToGrid/>
                <w:color w:val="auto"/>
                <w:sz w:val="18"/>
                <w:szCs w:val="18"/>
                <w:u w:val="none"/>
                <w:lang w:eastAsia="zh-CN"/>
              </w:rPr>
            </w:pPr>
          </w:p>
        </w:tc>
        <w:tc>
          <w:tcPr>
            <w:tcW w:w="1084" w:type="dxa"/>
            <w:noWrap w:val="0"/>
            <w:vAlign w:val="bottom"/>
          </w:tcPr>
          <w:p>
            <w:pPr>
              <w:kinsoku/>
              <w:autoSpaceDE/>
              <w:autoSpaceDN w:val="0"/>
              <w:spacing w:line="240" w:lineRule="auto"/>
              <w:jc w:val="right"/>
              <w:textAlignment w:val="center"/>
              <w:rPr>
                <w:rFonts w:hint="eastAsia" w:ascii="宋体" w:hAnsi="宋体" w:eastAsia="宋体" w:cs="宋体"/>
                <w:color w:val="auto"/>
                <w:sz w:val="18"/>
                <w:szCs w:val="18"/>
                <w:vertAlign w:val="baseline"/>
                <w:lang w:val="en-US" w:eastAsia="zh-CN"/>
              </w:rPr>
            </w:pPr>
          </w:p>
        </w:tc>
        <w:tc>
          <w:tcPr>
            <w:tcW w:w="1084" w:type="dxa"/>
            <w:noWrap w:val="0"/>
            <w:vAlign w:val="bottom"/>
          </w:tcPr>
          <w:p>
            <w:pPr>
              <w:kinsoku/>
              <w:autoSpaceDE/>
              <w:autoSpaceDN w:val="0"/>
              <w:spacing w:line="240" w:lineRule="auto"/>
              <w:jc w:val="center"/>
              <w:textAlignment w:val="center"/>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41" w:type="dxa"/>
            <w:vMerge w:val="restart"/>
            <w:noWrap w:val="0"/>
            <w:vAlign w:val="center"/>
          </w:tcPr>
          <w:p>
            <w:pPr>
              <w:kinsoku/>
              <w:autoSpaceDE/>
              <w:autoSpaceDN w:val="0"/>
              <w:spacing w:line="240" w:lineRule="auto"/>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w:t>
            </w:r>
          </w:p>
        </w:tc>
        <w:tc>
          <w:tcPr>
            <w:tcW w:w="3305" w:type="dxa"/>
            <w:noWrap w:val="0"/>
            <w:vAlign w:val="center"/>
          </w:tcPr>
          <w:p>
            <w:pPr>
              <w:kinsoku/>
              <w:autoSpaceDE/>
              <w:autoSpaceDN w:val="0"/>
              <w:spacing w:line="240" w:lineRule="auto"/>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b w:val="0"/>
                <w:i w:val="0"/>
                <w:snapToGrid/>
                <w:color w:val="auto"/>
                <w:sz w:val="18"/>
                <w:szCs w:val="18"/>
                <w:u w:val="none"/>
                <w:lang w:eastAsia="zh-CN"/>
              </w:rPr>
              <w:t>炼钢部转炉炉坑清理、精炼炉炉坑清理、废钢清理及零星工作</w:t>
            </w:r>
          </w:p>
        </w:tc>
        <w:tc>
          <w:tcPr>
            <w:tcW w:w="1917" w:type="dxa"/>
            <w:noWrap w:val="0"/>
            <w:vAlign w:val="center"/>
          </w:tcPr>
          <w:p>
            <w:pPr>
              <w:kinsoku/>
              <w:autoSpaceDE/>
              <w:autoSpaceDN w:val="0"/>
              <w:spacing w:line="240" w:lineRule="auto"/>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b w:val="0"/>
                <w:i w:val="0"/>
                <w:snapToGrid/>
                <w:color w:val="auto"/>
                <w:sz w:val="18"/>
                <w:szCs w:val="18"/>
                <w:u w:val="none"/>
                <w:lang w:eastAsia="zh-CN"/>
              </w:rPr>
              <w:t>2台</w:t>
            </w:r>
            <w:r>
              <w:rPr>
                <w:rFonts w:hint="eastAsia" w:ascii="宋体" w:hAnsi="宋体" w:eastAsia="宋体" w:cs="宋体"/>
                <w:color w:val="auto"/>
                <w:sz w:val="18"/>
                <w:szCs w:val="18"/>
                <w:vertAlign w:val="baseline"/>
                <w:lang w:val="en-US" w:eastAsia="zh-CN"/>
              </w:rPr>
              <w:t>195型以上</w:t>
            </w:r>
            <w:r>
              <w:rPr>
                <w:rFonts w:hint="eastAsia" w:ascii="宋体" w:hAnsi="宋体" w:eastAsia="宋体" w:cs="宋体"/>
                <w:b w:val="0"/>
                <w:i w:val="0"/>
                <w:snapToGrid/>
                <w:color w:val="auto"/>
                <w:sz w:val="18"/>
                <w:szCs w:val="18"/>
                <w:u w:val="none"/>
                <w:lang w:eastAsia="zh-CN"/>
              </w:rPr>
              <w:t>挖掘机、其中</w:t>
            </w:r>
            <w:r>
              <w:rPr>
                <w:rFonts w:hint="eastAsia" w:ascii="宋体" w:hAnsi="宋体" w:eastAsia="宋体" w:cs="宋体"/>
                <w:b w:val="0"/>
                <w:i w:val="0"/>
                <w:snapToGrid/>
                <w:color w:val="auto"/>
                <w:sz w:val="18"/>
                <w:szCs w:val="18"/>
                <w:u w:val="none"/>
                <w:lang w:val="en-US" w:eastAsia="zh-CN"/>
              </w:rPr>
              <w:t>1台需配风镐头</w:t>
            </w:r>
          </w:p>
        </w:tc>
        <w:tc>
          <w:tcPr>
            <w:tcW w:w="3000" w:type="dxa"/>
            <w:noWrap w:val="0"/>
            <w:vAlign w:val="center"/>
          </w:tcPr>
          <w:p>
            <w:pPr>
              <w:kinsoku/>
              <w:autoSpaceDE/>
              <w:autoSpaceDN w:val="0"/>
              <w:spacing w:line="240" w:lineRule="auto"/>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b w:val="0"/>
                <w:i w:val="0"/>
                <w:snapToGrid/>
                <w:color w:val="auto"/>
                <w:sz w:val="18"/>
                <w:szCs w:val="18"/>
                <w:u w:val="none"/>
                <w:lang w:eastAsia="zh-CN"/>
              </w:rPr>
              <w:t>费用=钢产量*单价          约</w:t>
            </w:r>
            <w:r>
              <w:rPr>
                <w:rFonts w:hint="eastAsia" w:ascii="宋体" w:hAnsi="宋体" w:eastAsia="宋体" w:cs="宋体"/>
                <w:b w:val="0"/>
                <w:i w:val="0"/>
                <w:snapToGrid/>
                <w:color w:val="auto"/>
                <w:sz w:val="18"/>
                <w:szCs w:val="18"/>
                <w:u w:val="none"/>
                <w:lang w:val="en-US" w:eastAsia="zh-CN"/>
              </w:rPr>
              <w:t>25</w:t>
            </w:r>
            <w:r>
              <w:rPr>
                <w:rFonts w:hint="eastAsia" w:ascii="宋体" w:hAnsi="宋体" w:eastAsia="宋体" w:cs="宋体"/>
                <w:b w:val="0"/>
                <w:i w:val="0"/>
                <w:snapToGrid/>
                <w:color w:val="auto"/>
                <w:sz w:val="18"/>
                <w:szCs w:val="18"/>
                <w:u w:val="none"/>
                <w:lang w:eastAsia="zh-CN"/>
              </w:rPr>
              <w:t>万吨</w:t>
            </w:r>
            <w:r>
              <w:rPr>
                <w:rFonts w:hint="eastAsia" w:ascii="宋体" w:hAnsi="宋体" w:eastAsia="宋体" w:cs="宋体"/>
                <w:b w:val="0"/>
                <w:i w:val="0"/>
                <w:snapToGrid/>
                <w:color w:val="auto"/>
                <w:sz w:val="18"/>
                <w:szCs w:val="18"/>
                <w:u w:val="none"/>
                <w:lang w:val="en-US" w:eastAsia="zh-CN"/>
              </w:rPr>
              <w:t>/月</w:t>
            </w:r>
          </w:p>
        </w:tc>
        <w:tc>
          <w:tcPr>
            <w:tcW w:w="1084" w:type="dxa"/>
            <w:noWrap w:val="0"/>
            <w:vAlign w:val="bottom"/>
          </w:tcPr>
          <w:p>
            <w:pPr>
              <w:kinsoku/>
              <w:autoSpaceDE/>
              <w:autoSpaceDN w:val="0"/>
              <w:spacing w:line="240" w:lineRule="auto"/>
              <w:jc w:val="right"/>
              <w:textAlignment w:val="center"/>
              <w:rPr>
                <w:rFonts w:hint="eastAsia"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 xml:space="preserve">  </w:t>
            </w:r>
            <w:r>
              <w:rPr>
                <w:rFonts w:hint="eastAsia" w:ascii="宋体" w:hAnsi="宋体" w:eastAsia="宋体" w:cs="宋体"/>
                <w:color w:val="auto"/>
                <w:sz w:val="18"/>
                <w:szCs w:val="18"/>
                <w:vertAlign w:val="baseline"/>
                <w:lang w:val="en-US" w:eastAsia="zh-CN"/>
              </w:rPr>
              <w:t>元/吨</w:t>
            </w:r>
          </w:p>
        </w:tc>
        <w:tc>
          <w:tcPr>
            <w:tcW w:w="1084" w:type="dxa"/>
            <w:noWrap w:val="0"/>
            <w:vAlign w:val="bottom"/>
          </w:tcPr>
          <w:p>
            <w:pPr>
              <w:kinsoku/>
              <w:autoSpaceDE/>
              <w:autoSpaceDN w:val="0"/>
              <w:spacing w:line="240" w:lineRule="auto"/>
              <w:jc w:val="center"/>
              <w:textAlignment w:val="center"/>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1" w:type="dxa"/>
            <w:vMerge w:val="continue"/>
            <w:noWrap w:val="0"/>
            <w:vAlign w:val="center"/>
          </w:tcPr>
          <w:p>
            <w:pPr>
              <w:kinsoku/>
              <w:autoSpaceDE/>
              <w:autoSpaceDN w:val="0"/>
              <w:spacing w:line="240" w:lineRule="auto"/>
              <w:jc w:val="center"/>
              <w:textAlignment w:val="center"/>
              <w:rPr>
                <w:rFonts w:hint="eastAsia" w:ascii="宋体" w:hAnsi="宋体" w:eastAsia="宋体" w:cs="宋体"/>
                <w:color w:val="auto"/>
                <w:sz w:val="18"/>
                <w:szCs w:val="18"/>
                <w:vertAlign w:val="baseline"/>
                <w:lang w:val="en-US" w:eastAsia="zh-CN"/>
              </w:rPr>
            </w:pPr>
          </w:p>
        </w:tc>
        <w:tc>
          <w:tcPr>
            <w:tcW w:w="3305" w:type="dxa"/>
            <w:noWrap w:val="0"/>
            <w:vAlign w:val="center"/>
          </w:tcPr>
          <w:p>
            <w:pPr>
              <w:kinsoku/>
              <w:autoSpaceDE/>
              <w:autoSpaceDN w:val="0"/>
              <w:spacing w:line="240" w:lineRule="auto"/>
              <w:jc w:val="center"/>
              <w:textAlignment w:val="center"/>
              <w:rPr>
                <w:rFonts w:hint="eastAsia" w:ascii="宋体" w:hAnsi="宋体" w:eastAsia="宋体" w:cs="宋体"/>
                <w:b w:val="0"/>
                <w:i w:val="0"/>
                <w:snapToGrid/>
                <w:color w:val="auto"/>
                <w:sz w:val="18"/>
                <w:szCs w:val="18"/>
                <w:u w:val="none"/>
                <w:lang w:eastAsia="zh-CN"/>
              </w:rPr>
            </w:pPr>
            <w:r>
              <w:rPr>
                <w:rFonts w:hint="eastAsia" w:ascii="宋体" w:hAnsi="宋体" w:eastAsia="宋体" w:cs="宋体"/>
                <w:b w:val="0"/>
                <w:i w:val="0"/>
                <w:color w:val="auto"/>
                <w:sz w:val="18"/>
                <w:szCs w:val="18"/>
                <w:lang w:val="en-US" w:eastAsia="zh-CN"/>
              </w:rPr>
              <w:t>炼钢部棒磨车间喂料、硬块破碎、装车及零星工作</w:t>
            </w:r>
          </w:p>
        </w:tc>
        <w:tc>
          <w:tcPr>
            <w:tcW w:w="1917" w:type="dxa"/>
            <w:noWrap w:val="0"/>
            <w:vAlign w:val="center"/>
          </w:tcPr>
          <w:p>
            <w:pPr>
              <w:kinsoku/>
              <w:autoSpaceDE/>
              <w:autoSpaceDN w:val="0"/>
              <w:spacing w:line="240" w:lineRule="auto"/>
              <w:jc w:val="center"/>
              <w:textAlignment w:val="center"/>
              <w:rPr>
                <w:rFonts w:hint="eastAsia" w:ascii="宋体" w:hAnsi="宋体" w:eastAsia="宋体" w:cs="宋体"/>
                <w:b w:val="0"/>
                <w:i w:val="0"/>
                <w:snapToGrid/>
                <w:color w:val="auto"/>
                <w:sz w:val="18"/>
                <w:szCs w:val="18"/>
                <w:u w:val="none"/>
                <w:lang w:eastAsia="zh-CN"/>
              </w:rPr>
            </w:pPr>
            <w:r>
              <w:rPr>
                <w:rFonts w:hint="eastAsia" w:ascii="宋体" w:hAnsi="宋体" w:eastAsia="宋体" w:cs="宋体"/>
                <w:b w:val="0"/>
                <w:i w:val="0"/>
                <w:snapToGrid/>
                <w:color w:val="auto"/>
                <w:sz w:val="18"/>
                <w:szCs w:val="18"/>
                <w:u w:val="none"/>
                <w:lang w:val="en-US" w:eastAsia="zh-CN"/>
              </w:rPr>
              <w:t>195型以上挖掘机（1台）</w:t>
            </w:r>
          </w:p>
        </w:tc>
        <w:tc>
          <w:tcPr>
            <w:tcW w:w="3000" w:type="dxa"/>
            <w:noWrap w:val="0"/>
            <w:vAlign w:val="center"/>
          </w:tcPr>
          <w:p>
            <w:pPr>
              <w:kinsoku/>
              <w:autoSpaceDE/>
              <w:autoSpaceDN w:val="0"/>
              <w:spacing w:line="240" w:lineRule="auto"/>
              <w:jc w:val="center"/>
              <w:textAlignment w:val="center"/>
              <w:rPr>
                <w:rFonts w:hint="eastAsia" w:ascii="宋体" w:hAnsi="宋体" w:eastAsia="宋体" w:cs="宋体"/>
                <w:b w:val="0"/>
                <w:i w:val="0"/>
                <w:snapToGrid/>
                <w:color w:val="auto"/>
                <w:sz w:val="18"/>
                <w:szCs w:val="18"/>
                <w:u w:val="none"/>
                <w:lang w:eastAsia="zh-CN"/>
              </w:rPr>
            </w:pPr>
            <w:r>
              <w:rPr>
                <w:rFonts w:hint="eastAsia" w:ascii="宋体" w:hAnsi="宋体" w:eastAsia="宋体" w:cs="宋体"/>
                <w:b w:val="0"/>
                <w:i w:val="0"/>
                <w:snapToGrid/>
                <w:color w:val="auto"/>
                <w:sz w:val="18"/>
                <w:szCs w:val="18"/>
                <w:u w:val="none"/>
                <w:lang w:eastAsia="zh-CN"/>
              </w:rPr>
              <w:t>费用=棒磨产品倒运量*单价</w:t>
            </w:r>
          </w:p>
          <w:p>
            <w:pPr>
              <w:kinsoku/>
              <w:autoSpaceDE/>
              <w:autoSpaceDN w:val="0"/>
              <w:spacing w:line="240" w:lineRule="auto"/>
              <w:jc w:val="center"/>
              <w:textAlignment w:val="center"/>
              <w:rPr>
                <w:rFonts w:hint="eastAsia" w:ascii="宋体" w:hAnsi="宋体" w:eastAsia="宋体" w:cs="宋体"/>
                <w:b w:val="0"/>
                <w:i w:val="0"/>
                <w:snapToGrid/>
                <w:color w:val="auto"/>
                <w:sz w:val="18"/>
                <w:szCs w:val="18"/>
                <w:u w:val="none"/>
                <w:lang w:val="en-US" w:eastAsia="zh-CN"/>
              </w:rPr>
            </w:pPr>
            <w:r>
              <w:rPr>
                <w:rFonts w:hint="eastAsia" w:ascii="宋体" w:hAnsi="宋体" w:eastAsia="宋体" w:cs="宋体"/>
                <w:b w:val="0"/>
                <w:i w:val="0"/>
                <w:snapToGrid/>
                <w:color w:val="auto"/>
                <w:sz w:val="18"/>
                <w:szCs w:val="18"/>
                <w:u w:val="none"/>
                <w:lang w:eastAsia="zh-CN"/>
              </w:rPr>
              <w:t>约</w:t>
            </w:r>
            <w:r>
              <w:rPr>
                <w:rFonts w:hint="eastAsia" w:ascii="宋体" w:hAnsi="宋体" w:eastAsia="宋体" w:cs="宋体"/>
                <w:b w:val="0"/>
                <w:i w:val="0"/>
                <w:snapToGrid/>
                <w:color w:val="auto"/>
                <w:sz w:val="18"/>
                <w:szCs w:val="18"/>
                <w:u w:val="none"/>
                <w:lang w:val="en-US" w:eastAsia="zh-CN"/>
              </w:rPr>
              <w:t>3.5万吨/月</w:t>
            </w:r>
          </w:p>
        </w:tc>
        <w:tc>
          <w:tcPr>
            <w:tcW w:w="1084" w:type="dxa"/>
            <w:noWrap w:val="0"/>
            <w:vAlign w:val="bottom"/>
          </w:tcPr>
          <w:p>
            <w:pPr>
              <w:kinsoku/>
              <w:autoSpaceDE/>
              <w:autoSpaceDN w:val="0"/>
              <w:spacing w:line="240" w:lineRule="auto"/>
              <w:jc w:val="right"/>
              <w:textAlignment w:val="center"/>
              <w:rPr>
                <w:rFonts w:hint="eastAsia"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 xml:space="preserve">  </w:t>
            </w:r>
            <w:r>
              <w:rPr>
                <w:rFonts w:hint="eastAsia" w:ascii="宋体" w:hAnsi="宋体" w:eastAsia="宋体" w:cs="宋体"/>
                <w:color w:val="auto"/>
                <w:sz w:val="18"/>
                <w:szCs w:val="18"/>
                <w:vertAlign w:val="baseline"/>
                <w:lang w:val="en-US" w:eastAsia="zh-CN"/>
              </w:rPr>
              <w:t>元/吨</w:t>
            </w:r>
          </w:p>
        </w:tc>
        <w:tc>
          <w:tcPr>
            <w:tcW w:w="1084" w:type="dxa"/>
            <w:noWrap w:val="0"/>
            <w:vAlign w:val="bottom"/>
          </w:tcPr>
          <w:p>
            <w:pPr>
              <w:kinsoku/>
              <w:autoSpaceDE/>
              <w:autoSpaceDN w:val="0"/>
              <w:spacing w:line="240" w:lineRule="auto"/>
              <w:jc w:val="center"/>
              <w:textAlignment w:val="center"/>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p>
        </w:tc>
        <w:tc>
          <w:tcPr>
            <w:tcW w:w="33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cs="宋体"/>
                <w:b w:val="0"/>
                <w:i w:val="0"/>
                <w:snapToGrid/>
                <w:color w:val="auto"/>
                <w:sz w:val="18"/>
                <w:szCs w:val="18"/>
                <w:u w:val="none"/>
                <w:lang w:val="en-US" w:eastAsia="zh-CN"/>
              </w:rPr>
              <w:t>总计：</w:t>
            </w:r>
          </w:p>
        </w:tc>
        <w:tc>
          <w:tcPr>
            <w:tcW w:w="19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3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4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w:t>
            </w:r>
          </w:p>
        </w:tc>
        <w:tc>
          <w:tcPr>
            <w:tcW w:w="330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临时用车</w:t>
            </w:r>
          </w:p>
        </w:tc>
        <w:tc>
          <w:tcPr>
            <w:tcW w:w="19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195型以上挖掘机配镐头</w:t>
            </w:r>
          </w:p>
        </w:tc>
        <w:tc>
          <w:tcPr>
            <w:tcW w:w="3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费用=使用小时*单价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 约</w:t>
            </w:r>
            <w:r>
              <w:rPr>
                <w:rFonts w:hint="eastAsia" w:ascii="宋体" w:hAnsi="宋体" w:cs="宋体"/>
                <w:color w:val="auto"/>
                <w:sz w:val="18"/>
                <w:szCs w:val="18"/>
                <w:vertAlign w:val="baseline"/>
                <w:lang w:val="en-US" w:eastAsia="zh-CN"/>
              </w:rPr>
              <w:t>75</w:t>
            </w:r>
            <w:r>
              <w:rPr>
                <w:rFonts w:hint="eastAsia" w:ascii="宋体" w:hAnsi="宋体" w:eastAsia="宋体" w:cs="宋体"/>
                <w:color w:val="auto"/>
                <w:sz w:val="18"/>
                <w:szCs w:val="18"/>
                <w:vertAlign w:val="baseline"/>
                <w:lang w:val="en-US" w:eastAsia="zh-CN"/>
              </w:rPr>
              <w:t>小时/月</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 xml:space="preserve"> </w:t>
            </w:r>
            <w:r>
              <w:rPr>
                <w:rFonts w:hint="eastAsia" w:ascii="宋体" w:hAnsi="宋体" w:eastAsia="宋体" w:cs="宋体"/>
                <w:color w:val="auto"/>
                <w:sz w:val="18"/>
                <w:szCs w:val="18"/>
                <w:vertAlign w:val="baseline"/>
                <w:lang w:val="en-US" w:eastAsia="zh-CN"/>
              </w:rPr>
              <w:t>元/小时</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7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p>
        </w:tc>
        <w:tc>
          <w:tcPr>
            <w:tcW w:w="330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p>
        </w:tc>
        <w:tc>
          <w:tcPr>
            <w:tcW w:w="19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195型以上 挖掘机</w:t>
            </w:r>
          </w:p>
        </w:tc>
        <w:tc>
          <w:tcPr>
            <w:tcW w:w="3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费用=使用小时*单价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 约</w:t>
            </w:r>
            <w:r>
              <w:rPr>
                <w:rFonts w:hint="eastAsia" w:ascii="宋体" w:hAnsi="宋体" w:cs="宋体"/>
                <w:color w:val="auto"/>
                <w:sz w:val="18"/>
                <w:szCs w:val="18"/>
                <w:vertAlign w:val="baseline"/>
                <w:lang w:val="en-US" w:eastAsia="zh-CN"/>
              </w:rPr>
              <w:t>1000</w:t>
            </w:r>
            <w:r>
              <w:rPr>
                <w:rFonts w:hint="eastAsia" w:ascii="宋体" w:hAnsi="宋体" w:eastAsia="宋体" w:cs="宋体"/>
                <w:color w:val="auto"/>
                <w:sz w:val="18"/>
                <w:szCs w:val="18"/>
                <w:vertAlign w:val="baseline"/>
                <w:lang w:val="en-US" w:eastAsia="zh-CN"/>
              </w:rPr>
              <w:t>小时/月</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元/小时</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p>
        </w:tc>
        <w:tc>
          <w:tcPr>
            <w:tcW w:w="330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p>
        </w:tc>
        <w:tc>
          <w:tcPr>
            <w:tcW w:w="19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70型配风镐头挖掘机</w:t>
            </w:r>
          </w:p>
        </w:tc>
        <w:tc>
          <w:tcPr>
            <w:tcW w:w="3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费用=使用小时*单价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 约</w:t>
            </w:r>
            <w:r>
              <w:rPr>
                <w:rFonts w:hint="eastAsia" w:ascii="宋体" w:hAnsi="宋体" w:cs="宋体"/>
                <w:color w:val="auto"/>
                <w:sz w:val="18"/>
                <w:szCs w:val="18"/>
                <w:vertAlign w:val="baseline"/>
                <w:lang w:val="en-US" w:eastAsia="zh-CN"/>
              </w:rPr>
              <w:t>150</w:t>
            </w:r>
            <w:r>
              <w:rPr>
                <w:rFonts w:hint="eastAsia" w:ascii="宋体" w:hAnsi="宋体" w:eastAsia="宋体" w:cs="宋体"/>
                <w:color w:val="auto"/>
                <w:sz w:val="18"/>
                <w:szCs w:val="18"/>
                <w:vertAlign w:val="baseline"/>
                <w:lang w:val="en-US" w:eastAsia="zh-CN"/>
              </w:rPr>
              <w:t>小时/月</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元/小时</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330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19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70型挖掘机</w:t>
            </w:r>
          </w:p>
        </w:tc>
        <w:tc>
          <w:tcPr>
            <w:tcW w:w="3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费用=使用小时*单价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 约</w:t>
            </w:r>
            <w:r>
              <w:rPr>
                <w:rFonts w:hint="eastAsia" w:ascii="宋体" w:hAnsi="宋体" w:cs="宋体"/>
                <w:color w:val="auto"/>
                <w:sz w:val="18"/>
                <w:szCs w:val="18"/>
                <w:vertAlign w:val="baseline"/>
                <w:lang w:val="en-US" w:eastAsia="zh-CN"/>
              </w:rPr>
              <w:t>240</w:t>
            </w:r>
            <w:r>
              <w:rPr>
                <w:rFonts w:hint="eastAsia" w:ascii="宋体" w:hAnsi="宋体" w:eastAsia="宋体" w:cs="宋体"/>
                <w:color w:val="auto"/>
                <w:sz w:val="18"/>
                <w:szCs w:val="18"/>
                <w:vertAlign w:val="baseline"/>
                <w:lang w:val="en-US" w:eastAsia="zh-CN"/>
              </w:rPr>
              <w:t>小时/月</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元/小时</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330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19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微型挖机（1.5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-2.5吨）</w:t>
            </w:r>
          </w:p>
        </w:tc>
        <w:tc>
          <w:tcPr>
            <w:tcW w:w="3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费用=使用小时*单价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约</w:t>
            </w:r>
            <w:r>
              <w:rPr>
                <w:rFonts w:hint="eastAsia" w:ascii="宋体" w:hAnsi="宋体" w:cs="宋体"/>
                <w:color w:val="auto"/>
                <w:sz w:val="18"/>
                <w:szCs w:val="18"/>
                <w:vertAlign w:val="baseline"/>
                <w:lang w:val="en-US" w:eastAsia="zh-CN"/>
              </w:rPr>
              <w:t>40</w:t>
            </w:r>
            <w:r>
              <w:rPr>
                <w:rFonts w:hint="eastAsia" w:ascii="宋体" w:hAnsi="宋体" w:eastAsia="宋体" w:cs="宋体"/>
                <w:color w:val="auto"/>
                <w:sz w:val="18"/>
                <w:szCs w:val="18"/>
                <w:vertAlign w:val="baseline"/>
                <w:lang w:val="en-US" w:eastAsia="zh-CN"/>
              </w:rPr>
              <w:t>小时/月</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元/小时</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33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cs="宋体"/>
                <w:b w:val="0"/>
                <w:i w:val="0"/>
                <w:snapToGrid/>
                <w:color w:val="auto"/>
                <w:sz w:val="18"/>
                <w:szCs w:val="18"/>
                <w:u w:val="none"/>
                <w:lang w:val="en-US" w:eastAsia="zh-CN"/>
              </w:rPr>
              <w:t>总计：</w:t>
            </w:r>
          </w:p>
        </w:tc>
        <w:tc>
          <w:tcPr>
            <w:tcW w:w="19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3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4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bookmarkStart w:id="0" w:name="_GoBack" w:colFirst="4" w:colLast="4"/>
            <w:r>
              <w:rPr>
                <w:rFonts w:hint="eastAsia" w:ascii="宋体" w:hAnsi="宋体" w:eastAsia="宋体" w:cs="宋体"/>
                <w:color w:val="auto"/>
                <w:sz w:val="18"/>
                <w:szCs w:val="18"/>
                <w:vertAlign w:val="baseline"/>
                <w:lang w:val="en-US" w:eastAsia="zh-CN"/>
              </w:rPr>
              <w:t>4</w:t>
            </w:r>
          </w:p>
        </w:tc>
        <w:tc>
          <w:tcPr>
            <w:tcW w:w="33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炼铁部白灰工部原料打堆、石灰石筛下物装车及临时性项目作业</w:t>
            </w:r>
          </w:p>
        </w:tc>
        <w:tc>
          <w:tcPr>
            <w:tcW w:w="19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50型装载机（1部，配备加长臂）</w:t>
            </w:r>
          </w:p>
        </w:tc>
        <w:tc>
          <w:tcPr>
            <w:tcW w:w="3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费用=白灰产量*单价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约3.5万吨</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元/吨</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p>
        </w:tc>
        <w:tc>
          <w:tcPr>
            <w:tcW w:w="33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炼铁部铸铁区域作业、协助高炉供料作业及其他临时作业用车</w:t>
            </w:r>
          </w:p>
        </w:tc>
        <w:tc>
          <w:tcPr>
            <w:tcW w:w="19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50型装载机（1部，配备加长臂）</w:t>
            </w:r>
          </w:p>
        </w:tc>
        <w:tc>
          <w:tcPr>
            <w:tcW w:w="3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费用=铁水产量*单价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约25万吨</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元/吨</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p>
        </w:tc>
        <w:tc>
          <w:tcPr>
            <w:tcW w:w="33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炼铁部原燃料供料、积料清理及临时作业用车</w:t>
            </w:r>
          </w:p>
        </w:tc>
        <w:tc>
          <w:tcPr>
            <w:tcW w:w="19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50型装载机（白班2台，夜班1台）</w:t>
            </w:r>
          </w:p>
        </w:tc>
        <w:tc>
          <w:tcPr>
            <w:tcW w:w="3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费用=铁水产量*单价</w:t>
            </w:r>
            <w:r>
              <w:rPr>
                <w:rFonts w:hint="eastAsia" w:ascii="宋体" w:hAnsi="宋体" w:cs="宋体"/>
                <w:color w:val="auto"/>
                <w:sz w:val="18"/>
                <w:szCs w:val="18"/>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约25万吨</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元/吨</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p>
        </w:tc>
        <w:tc>
          <w:tcPr>
            <w:tcW w:w="33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临时用车</w:t>
            </w:r>
          </w:p>
        </w:tc>
        <w:tc>
          <w:tcPr>
            <w:tcW w:w="19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50型装载机（配备加长臂）</w:t>
            </w:r>
          </w:p>
        </w:tc>
        <w:tc>
          <w:tcPr>
            <w:tcW w:w="3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费用=使用小时*单价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 约</w:t>
            </w:r>
            <w:r>
              <w:rPr>
                <w:rFonts w:hint="eastAsia" w:ascii="宋体" w:hAnsi="宋体" w:eastAsia="宋体" w:cs="宋体"/>
                <w:color w:val="FF0000"/>
                <w:sz w:val="18"/>
                <w:szCs w:val="18"/>
                <w:vertAlign w:val="baseline"/>
                <w:lang w:val="en-US" w:eastAsia="zh-CN"/>
              </w:rPr>
              <w:t>10</w:t>
            </w:r>
            <w:r>
              <w:rPr>
                <w:rFonts w:hint="eastAsia" w:ascii="宋体" w:hAnsi="宋体" w:eastAsia="宋体" w:cs="宋体"/>
                <w:color w:val="auto"/>
                <w:sz w:val="18"/>
                <w:szCs w:val="18"/>
                <w:vertAlign w:val="baseline"/>
                <w:lang w:val="en-US" w:eastAsia="zh-CN"/>
              </w:rPr>
              <w:t>小时/月</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元/小时</w:t>
            </w:r>
          </w:p>
        </w:tc>
        <w:tc>
          <w:tcPr>
            <w:tcW w:w="1084" w:type="dxa"/>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3305" w:type="dxa"/>
            <w:noWrap w:val="0"/>
            <w:vAlign w:val="center"/>
          </w:tcPr>
          <w:p>
            <w:pPr>
              <w:spacing w:line="240" w:lineRule="auto"/>
              <w:jc w:val="center"/>
              <w:rPr>
                <w:rFonts w:hint="eastAsia" w:ascii="宋体" w:hAnsi="宋体" w:eastAsia="宋体" w:cs="宋体"/>
                <w:b w:val="0"/>
                <w:i w:val="0"/>
                <w:color w:val="auto"/>
                <w:sz w:val="18"/>
                <w:szCs w:val="18"/>
                <w:lang w:val="en-US" w:eastAsia="zh-CN"/>
              </w:rPr>
            </w:pPr>
            <w:r>
              <w:rPr>
                <w:rFonts w:hint="eastAsia" w:ascii="宋体" w:hAnsi="宋体" w:cs="宋体"/>
                <w:b w:val="0"/>
                <w:i w:val="0"/>
                <w:snapToGrid/>
                <w:color w:val="auto"/>
                <w:sz w:val="18"/>
                <w:szCs w:val="18"/>
                <w:u w:val="none"/>
                <w:lang w:val="en-US" w:eastAsia="zh-CN"/>
              </w:rPr>
              <w:t>总计：</w:t>
            </w:r>
          </w:p>
        </w:tc>
        <w:tc>
          <w:tcPr>
            <w:tcW w:w="1917" w:type="dxa"/>
            <w:noWrap w:val="0"/>
            <w:vAlign w:val="center"/>
          </w:tcPr>
          <w:p>
            <w:pPr>
              <w:kinsoku/>
              <w:autoSpaceDE/>
              <w:autoSpaceDN w:val="0"/>
              <w:spacing w:line="240" w:lineRule="auto"/>
              <w:jc w:val="center"/>
              <w:textAlignment w:val="center"/>
              <w:rPr>
                <w:rFonts w:hint="eastAsia" w:ascii="宋体" w:hAnsi="宋体" w:eastAsia="宋体" w:cs="宋体"/>
                <w:b w:val="0"/>
                <w:i w:val="0"/>
                <w:snapToGrid/>
                <w:color w:val="auto"/>
                <w:sz w:val="18"/>
                <w:szCs w:val="18"/>
                <w:u w:val="none"/>
                <w:lang w:val="en-US" w:eastAsia="zh-CN"/>
              </w:rPr>
            </w:pPr>
          </w:p>
        </w:tc>
        <w:tc>
          <w:tcPr>
            <w:tcW w:w="3000" w:type="dxa"/>
            <w:noWrap w:val="0"/>
            <w:vAlign w:val="center"/>
          </w:tcPr>
          <w:p>
            <w:pPr>
              <w:spacing w:line="240" w:lineRule="auto"/>
              <w:jc w:val="center"/>
              <w:rPr>
                <w:rFonts w:hint="eastAsia" w:ascii="宋体" w:hAnsi="宋体" w:eastAsia="宋体" w:cs="宋体"/>
                <w:b w:val="0"/>
                <w:i w:val="0"/>
                <w:color w:val="auto"/>
                <w:sz w:val="18"/>
                <w:szCs w:val="18"/>
                <w:highlight w:val="none"/>
                <w:lang w:eastAsia="zh-CN"/>
              </w:rPr>
            </w:pPr>
          </w:p>
        </w:tc>
        <w:tc>
          <w:tcPr>
            <w:tcW w:w="1084" w:type="dxa"/>
            <w:noWrap w:val="0"/>
            <w:vAlign w:val="bottom"/>
          </w:tcPr>
          <w:p>
            <w:pPr>
              <w:spacing w:line="240" w:lineRule="auto"/>
              <w:jc w:val="right"/>
              <w:rPr>
                <w:rFonts w:hint="eastAsia" w:ascii="宋体" w:hAnsi="宋体" w:eastAsia="宋体" w:cs="宋体"/>
                <w:color w:val="auto"/>
                <w:sz w:val="18"/>
                <w:szCs w:val="18"/>
                <w:vertAlign w:val="baseline"/>
                <w:lang w:val="en-US" w:eastAsia="zh-CN"/>
              </w:rPr>
            </w:pPr>
          </w:p>
        </w:tc>
        <w:tc>
          <w:tcPr>
            <w:tcW w:w="1084" w:type="dxa"/>
            <w:noWrap w:val="0"/>
            <w:vAlign w:val="bottom"/>
          </w:tcPr>
          <w:p>
            <w:pPr>
              <w:spacing w:line="240" w:lineRule="auto"/>
              <w:jc w:val="center"/>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w:t>
            </w:r>
          </w:p>
        </w:tc>
        <w:tc>
          <w:tcPr>
            <w:tcW w:w="3305" w:type="dxa"/>
            <w:vMerge w:val="restart"/>
            <w:noWrap w:val="0"/>
            <w:vAlign w:val="center"/>
          </w:tcPr>
          <w:p>
            <w:pPr>
              <w:spacing w:line="240" w:lineRule="auto"/>
              <w:ind w:firstLine="360" w:firstLineChars="200"/>
              <w:jc w:val="left"/>
              <w:rPr>
                <w:rFonts w:hint="eastAsia" w:ascii="宋体" w:hAnsi="宋体" w:eastAsia="宋体" w:cs="宋体"/>
                <w:color w:val="auto"/>
                <w:kern w:val="2"/>
                <w:sz w:val="18"/>
                <w:szCs w:val="18"/>
                <w:vertAlign w:val="baseline"/>
                <w:lang w:val="en-US" w:eastAsia="zh-CN"/>
              </w:rPr>
            </w:pPr>
            <w:r>
              <w:rPr>
                <w:rFonts w:hint="eastAsia" w:ascii="宋体" w:hAnsi="宋体" w:eastAsia="宋体" w:cs="宋体"/>
                <w:b w:val="0"/>
                <w:i w:val="0"/>
                <w:color w:val="auto"/>
                <w:sz w:val="18"/>
                <w:szCs w:val="18"/>
                <w:lang w:val="en-US" w:eastAsia="zh-CN"/>
              </w:rPr>
              <w:t>钢渣及其磁选产品（精粉、粒子钢、片钢）及尾渣装车、场地清理；转炉炉坑钢渣清理、渣场钢渣及辅料装车、中包垃圾清理及零星工作。</w:t>
            </w:r>
          </w:p>
        </w:tc>
        <w:tc>
          <w:tcPr>
            <w:tcW w:w="1917" w:type="dxa"/>
            <w:vMerge w:val="restart"/>
            <w:noWrap w:val="0"/>
            <w:vAlign w:val="center"/>
          </w:tcPr>
          <w:p>
            <w:pPr>
              <w:kinsoku/>
              <w:autoSpaceDE/>
              <w:autoSpaceDN w:val="0"/>
              <w:spacing w:line="240" w:lineRule="auto"/>
              <w:jc w:val="center"/>
              <w:textAlignment w:val="center"/>
              <w:rPr>
                <w:rFonts w:hint="eastAsia" w:ascii="宋体" w:hAnsi="宋体" w:eastAsia="宋体" w:cs="宋体"/>
                <w:color w:val="auto"/>
                <w:kern w:val="2"/>
                <w:sz w:val="18"/>
                <w:szCs w:val="18"/>
                <w:vertAlign w:val="baseline"/>
                <w:lang w:val="en-US" w:eastAsia="zh-CN"/>
              </w:rPr>
            </w:pPr>
            <w:r>
              <w:rPr>
                <w:rFonts w:hint="eastAsia" w:ascii="宋体" w:hAnsi="宋体" w:eastAsia="宋体" w:cs="宋体"/>
                <w:b w:val="0"/>
                <w:i w:val="0"/>
                <w:snapToGrid/>
                <w:color w:val="auto"/>
                <w:sz w:val="18"/>
                <w:szCs w:val="18"/>
                <w:u w:val="none"/>
                <w:lang w:val="en-US" w:eastAsia="zh-CN"/>
              </w:rPr>
              <w:t>3</w:t>
            </w:r>
            <w:r>
              <w:rPr>
                <w:rFonts w:hint="eastAsia" w:ascii="宋体" w:hAnsi="宋体" w:eastAsia="宋体" w:cs="宋体"/>
                <w:b w:val="0"/>
                <w:i w:val="0"/>
                <w:snapToGrid/>
                <w:color w:val="auto"/>
                <w:sz w:val="18"/>
                <w:szCs w:val="18"/>
                <w:u w:val="none"/>
                <w:lang w:eastAsia="zh-CN"/>
              </w:rPr>
              <w:t>台50型装载机（棒磨车间</w:t>
            </w:r>
            <w:r>
              <w:rPr>
                <w:rFonts w:hint="eastAsia" w:ascii="宋体" w:hAnsi="宋体" w:eastAsia="宋体" w:cs="宋体"/>
                <w:b w:val="0"/>
                <w:i w:val="0"/>
                <w:snapToGrid/>
                <w:color w:val="auto"/>
                <w:sz w:val="18"/>
                <w:szCs w:val="18"/>
                <w:u w:val="none"/>
                <w:lang w:val="en-US" w:eastAsia="zh-CN"/>
              </w:rPr>
              <w:t>1</w:t>
            </w:r>
            <w:r>
              <w:rPr>
                <w:rFonts w:hint="eastAsia" w:ascii="宋体" w:hAnsi="宋体" w:eastAsia="宋体" w:cs="宋体"/>
                <w:b w:val="0"/>
                <w:i w:val="0"/>
                <w:snapToGrid/>
                <w:color w:val="auto"/>
                <w:sz w:val="18"/>
                <w:szCs w:val="18"/>
                <w:u w:val="none"/>
                <w:lang w:eastAsia="zh-CN"/>
              </w:rPr>
              <w:t>台；炼钢车间2台，车轮需要装防滑链）</w:t>
            </w:r>
          </w:p>
        </w:tc>
        <w:tc>
          <w:tcPr>
            <w:tcW w:w="3000" w:type="dxa"/>
            <w:noWrap w:val="0"/>
            <w:vAlign w:val="center"/>
          </w:tcPr>
          <w:p>
            <w:pPr>
              <w:spacing w:line="240" w:lineRule="auto"/>
              <w:jc w:val="center"/>
              <w:rPr>
                <w:rFonts w:hint="eastAsia" w:ascii="宋体" w:hAnsi="宋体" w:eastAsia="宋体" w:cs="宋体"/>
                <w:b w:val="0"/>
                <w:i w:val="0"/>
                <w:color w:val="auto"/>
                <w:sz w:val="18"/>
                <w:szCs w:val="18"/>
              </w:rPr>
            </w:pPr>
            <w:r>
              <w:rPr>
                <w:rFonts w:hint="eastAsia" w:ascii="宋体" w:hAnsi="宋体" w:eastAsia="宋体" w:cs="宋体"/>
                <w:b w:val="0"/>
                <w:i w:val="0"/>
                <w:color w:val="auto"/>
                <w:sz w:val="18"/>
                <w:szCs w:val="18"/>
                <w:lang w:eastAsia="zh-CN"/>
              </w:rPr>
              <w:t>炉坑铲车</w:t>
            </w:r>
            <w:r>
              <w:rPr>
                <w:rFonts w:hint="eastAsia" w:ascii="宋体" w:hAnsi="宋体" w:eastAsia="宋体" w:cs="宋体"/>
                <w:b w:val="0"/>
                <w:i w:val="0"/>
                <w:color w:val="auto"/>
                <w:sz w:val="18"/>
                <w:szCs w:val="18"/>
              </w:rPr>
              <w:t>费用=钢产量*单价</w:t>
            </w:r>
          </w:p>
          <w:p>
            <w:pPr>
              <w:spacing w:line="240" w:lineRule="auto"/>
              <w:jc w:val="center"/>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i w:val="0"/>
                <w:color w:val="auto"/>
                <w:sz w:val="18"/>
                <w:szCs w:val="18"/>
                <w:highlight w:val="none"/>
                <w:lang w:eastAsia="zh-CN"/>
              </w:rPr>
              <w:t>约</w:t>
            </w:r>
            <w:r>
              <w:rPr>
                <w:rFonts w:hint="eastAsia" w:ascii="宋体" w:hAnsi="宋体" w:eastAsia="宋体" w:cs="宋体"/>
                <w:b w:val="0"/>
                <w:i w:val="0"/>
                <w:color w:val="auto"/>
                <w:sz w:val="18"/>
                <w:szCs w:val="18"/>
                <w:highlight w:val="none"/>
                <w:lang w:val="en-US" w:eastAsia="zh-CN"/>
              </w:rPr>
              <w:t>25万吨/月</w:t>
            </w:r>
          </w:p>
        </w:tc>
        <w:tc>
          <w:tcPr>
            <w:tcW w:w="1084" w:type="dxa"/>
            <w:noWrap w:val="0"/>
            <w:vAlign w:val="bottom"/>
          </w:tcPr>
          <w:p>
            <w:pPr>
              <w:spacing w:line="240" w:lineRule="auto"/>
              <w:jc w:val="right"/>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元/吨</w:t>
            </w:r>
          </w:p>
        </w:tc>
        <w:tc>
          <w:tcPr>
            <w:tcW w:w="1084" w:type="dxa"/>
            <w:noWrap w:val="0"/>
            <w:vAlign w:val="bottom"/>
          </w:tcPr>
          <w:p>
            <w:pPr>
              <w:spacing w:line="240" w:lineRule="auto"/>
              <w:jc w:val="center"/>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4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330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191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3000" w:type="dxa"/>
            <w:noWrap w:val="0"/>
            <w:vAlign w:val="center"/>
          </w:tcPr>
          <w:p>
            <w:pPr>
              <w:kinsoku/>
              <w:autoSpaceDE/>
              <w:autoSpaceDN w:val="0"/>
              <w:spacing w:line="240" w:lineRule="auto"/>
              <w:jc w:val="center"/>
              <w:textAlignment w:val="center"/>
              <w:rPr>
                <w:rFonts w:hint="eastAsia" w:ascii="宋体" w:hAnsi="宋体" w:eastAsia="宋体" w:cs="宋体"/>
                <w:b w:val="0"/>
                <w:i w:val="0"/>
                <w:snapToGrid/>
                <w:color w:val="auto"/>
                <w:sz w:val="18"/>
                <w:szCs w:val="18"/>
                <w:u w:val="none"/>
                <w:lang w:eastAsia="zh-CN"/>
              </w:rPr>
            </w:pPr>
            <w:r>
              <w:rPr>
                <w:rFonts w:hint="eastAsia" w:ascii="宋体" w:hAnsi="宋体" w:eastAsia="宋体" w:cs="宋体"/>
                <w:b w:val="0"/>
                <w:i w:val="0"/>
                <w:snapToGrid/>
                <w:color w:val="auto"/>
                <w:sz w:val="18"/>
                <w:szCs w:val="18"/>
                <w:u w:val="none"/>
                <w:lang w:eastAsia="zh-CN"/>
              </w:rPr>
              <w:t>棒磨铲车费用=棒磨产品倒运量*单价</w:t>
            </w:r>
          </w:p>
          <w:p>
            <w:pPr>
              <w:spacing w:line="240" w:lineRule="auto"/>
              <w:jc w:val="center"/>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i w:val="0"/>
                <w:snapToGrid/>
                <w:color w:val="auto"/>
                <w:sz w:val="18"/>
                <w:szCs w:val="18"/>
                <w:u w:val="none"/>
                <w:lang w:eastAsia="zh-CN"/>
              </w:rPr>
              <w:t>约</w:t>
            </w:r>
            <w:r>
              <w:rPr>
                <w:rFonts w:hint="eastAsia" w:ascii="宋体" w:hAnsi="宋体" w:eastAsia="宋体" w:cs="宋体"/>
                <w:b w:val="0"/>
                <w:i w:val="0"/>
                <w:snapToGrid/>
                <w:color w:val="auto"/>
                <w:sz w:val="18"/>
                <w:szCs w:val="18"/>
                <w:u w:val="none"/>
                <w:lang w:val="en-US" w:eastAsia="zh-CN"/>
              </w:rPr>
              <w:t>3.5万吨/月</w:t>
            </w:r>
          </w:p>
        </w:tc>
        <w:tc>
          <w:tcPr>
            <w:tcW w:w="1084" w:type="dxa"/>
            <w:noWrap w:val="0"/>
            <w:vAlign w:val="bottom"/>
          </w:tcPr>
          <w:p>
            <w:pPr>
              <w:spacing w:line="240" w:lineRule="auto"/>
              <w:jc w:val="right"/>
              <w:rPr>
                <w:rFonts w:hint="eastAsia" w:ascii="宋体" w:hAnsi="宋体" w:eastAsia="宋体" w:cs="宋体"/>
                <w:color w:val="auto"/>
                <w:kern w:val="2"/>
                <w:sz w:val="18"/>
                <w:szCs w:val="18"/>
                <w:vertAlign w:val="baseline"/>
                <w:lang w:val="en-US" w:eastAsia="zh-CN"/>
              </w:rPr>
            </w:pPr>
            <w:r>
              <w:rPr>
                <w:rFonts w:hint="eastAsia" w:ascii="宋体" w:hAnsi="宋体" w:eastAsia="宋体" w:cs="宋体"/>
                <w:color w:val="auto"/>
                <w:sz w:val="18"/>
                <w:szCs w:val="18"/>
                <w:vertAlign w:val="baseline"/>
                <w:lang w:val="en-US" w:eastAsia="zh-CN"/>
              </w:rPr>
              <w:t>元/吨</w:t>
            </w:r>
          </w:p>
        </w:tc>
        <w:tc>
          <w:tcPr>
            <w:tcW w:w="1084" w:type="dxa"/>
            <w:noWrap w:val="0"/>
            <w:vAlign w:val="bottom"/>
          </w:tcPr>
          <w:p>
            <w:pPr>
              <w:spacing w:line="240" w:lineRule="auto"/>
              <w:jc w:val="center"/>
              <w:rPr>
                <w:rFonts w:hint="eastAsia" w:ascii="宋体" w:hAnsi="宋体" w:eastAsia="宋体" w:cs="宋体"/>
                <w:color w:val="auto"/>
                <w:sz w:val="18"/>
                <w:szCs w:val="18"/>
                <w:vertAlign w:val="baseline"/>
                <w:lang w:val="en-US"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33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r>
              <w:rPr>
                <w:rFonts w:hint="eastAsia" w:ascii="宋体" w:hAnsi="宋体" w:cs="宋体"/>
                <w:b w:val="0"/>
                <w:i w:val="0"/>
                <w:snapToGrid/>
                <w:color w:val="auto"/>
                <w:sz w:val="18"/>
                <w:szCs w:val="18"/>
                <w:u w:val="none"/>
                <w:lang w:val="en-US" w:eastAsia="zh-CN"/>
              </w:rPr>
              <w:t>总计：</w:t>
            </w:r>
          </w:p>
        </w:tc>
        <w:tc>
          <w:tcPr>
            <w:tcW w:w="19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18"/>
                <w:szCs w:val="18"/>
                <w:vertAlign w:val="baseline"/>
                <w:lang w:val="en-US" w:eastAsia="zh-CN"/>
              </w:rPr>
            </w:pPr>
          </w:p>
        </w:tc>
        <w:tc>
          <w:tcPr>
            <w:tcW w:w="3000" w:type="dxa"/>
            <w:noWrap w:val="0"/>
            <w:vAlign w:val="center"/>
          </w:tcPr>
          <w:p>
            <w:pPr>
              <w:spacing w:line="240" w:lineRule="auto"/>
              <w:jc w:val="center"/>
              <w:rPr>
                <w:rFonts w:hint="eastAsia" w:ascii="宋体" w:hAnsi="宋体" w:eastAsia="宋体" w:cs="宋体"/>
                <w:b w:val="0"/>
                <w:i w:val="0"/>
                <w:snapToGrid/>
                <w:color w:val="auto"/>
                <w:sz w:val="18"/>
                <w:szCs w:val="18"/>
                <w:u w:val="none"/>
                <w:lang w:eastAsia="zh-CN"/>
              </w:rPr>
            </w:pPr>
          </w:p>
        </w:tc>
        <w:tc>
          <w:tcPr>
            <w:tcW w:w="1084" w:type="dxa"/>
            <w:noWrap w:val="0"/>
            <w:vAlign w:val="bottom"/>
          </w:tcPr>
          <w:p>
            <w:pPr>
              <w:spacing w:line="240" w:lineRule="auto"/>
              <w:jc w:val="center"/>
              <w:rPr>
                <w:rFonts w:hint="eastAsia" w:ascii="宋体" w:hAnsi="宋体" w:eastAsia="宋体" w:cs="宋体"/>
                <w:color w:val="auto"/>
                <w:sz w:val="18"/>
                <w:szCs w:val="18"/>
                <w:vertAlign w:val="baseline"/>
                <w:lang w:val="en-US" w:eastAsia="zh-CN"/>
              </w:rPr>
            </w:pPr>
          </w:p>
        </w:tc>
        <w:tc>
          <w:tcPr>
            <w:tcW w:w="1084" w:type="dxa"/>
            <w:noWrap w:val="0"/>
            <w:vAlign w:val="bottom"/>
          </w:tcPr>
          <w:p>
            <w:pPr>
              <w:spacing w:line="240" w:lineRule="auto"/>
              <w:jc w:val="center"/>
              <w:rPr>
                <w:rFonts w:hint="eastAsia" w:ascii="宋体" w:hAnsi="宋体" w:eastAsia="宋体" w:cs="宋体"/>
                <w:color w:val="auto"/>
                <w:sz w:val="18"/>
                <w:szCs w:val="1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000000"/>
          <w:lang w:eastAsia="zh-CN"/>
        </w:rPr>
      </w:pPr>
      <w:r>
        <w:rPr>
          <w:rFonts w:hint="eastAsia" w:ascii="宋体" w:hAnsi="宋体" w:cs="宋体"/>
          <w:color w:val="000000"/>
          <w:lang w:eastAsia="zh-CN"/>
        </w:rPr>
        <w:t>备注：</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outlineLvl w:val="9"/>
        <w:rPr>
          <w:rFonts w:hint="eastAsia" w:ascii="宋体" w:hAnsi="宋体" w:cs="宋体"/>
          <w:color w:val="000000"/>
          <w:lang w:eastAsia="zh-CN"/>
        </w:rPr>
      </w:pPr>
      <w:r>
        <w:rPr>
          <w:rFonts w:hint="eastAsia" w:ascii="宋体" w:hAnsi="宋体" w:cs="宋体"/>
          <w:color w:val="000000"/>
          <w:lang w:eastAsia="zh-CN"/>
        </w:rPr>
        <w:t>烧结毛矿产量、铁水产量、钢产量、白灰产量、棒磨产品倒运量依据芜湖新兴报表。</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outlineLvl w:val="9"/>
        <w:rPr>
          <w:rFonts w:hint="eastAsia" w:ascii="宋体" w:hAnsi="宋体" w:cs="宋体"/>
          <w:color w:val="000000"/>
          <w:lang w:eastAsia="zh-CN"/>
        </w:rPr>
      </w:pPr>
      <w:r>
        <w:rPr>
          <w:rFonts w:hint="eastAsia" w:ascii="宋体" w:hAnsi="宋体" w:cs="宋体"/>
          <w:color w:val="000000"/>
          <w:lang w:eastAsia="zh-CN"/>
        </w:rPr>
        <w:t>临时用车使用时间不足一小时的按一小时计算，超出一小时的据实计算。</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outlineLvl w:val="9"/>
        <w:rPr>
          <w:rFonts w:hint="eastAsia" w:ascii="宋体" w:hAnsi="宋体" w:cs="宋体"/>
          <w:color w:val="000000"/>
          <w:lang w:eastAsia="zh-CN"/>
        </w:rPr>
      </w:pPr>
      <w:r>
        <w:rPr>
          <w:rFonts w:hint="eastAsia" w:ascii="宋体" w:hAnsi="宋体" w:cs="宋体"/>
          <w:color w:val="000000"/>
          <w:lang w:eastAsia="zh-CN"/>
        </w:rPr>
        <w:t>报价表中的预估结算量仅作为报价参考量，结算费用以实际发生量为准。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color w:val="000000"/>
          <w:lang w:eastAsia="zh-CN"/>
        </w:rPr>
        <w:t>单位：</w:t>
      </w:r>
      <w:r>
        <w:rPr>
          <w:rFonts w:hint="eastAsia" w:ascii="宋体" w:hAnsi="宋体" w:eastAsia="宋体" w:cs="宋体"/>
          <w:color w:val="000000"/>
          <w:lang w:val="en-US" w:eastAsia="zh-CN"/>
        </w:rPr>
        <w:t xml:space="preserve">                                                日期：</w:t>
      </w: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2021</w:t>
      </w:r>
      <w:r>
        <w:rPr>
          <w:rFonts w:ascii="宋体" w:hAnsi="宋体"/>
          <w:color w:val="auto"/>
          <w:sz w:val="24"/>
          <w:szCs w:val="24"/>
        </w:rPr>
        <w:t>年</w:t>
      </w:r>
      <w:r>
        <w:rPr>
          <w:rFonts w:hint="eastAsia" w:ascii="宋体" w:hAnsi="宋体"/>
          <w:color w:val="auto"/>
          <w:sz w:val="24"/>
          <w:szCs w:val="24"/>
          <w:lang w:val="en-US" w:eastAsia="zh-CN"/>
        </w:rPr>
        <w:t>5</w:t>
      </w:r>
      <w:r>
        <w:rPr>
          <w:rFonts w:ascii="宋体" w:hAnsi="宋体"/>
          <w:color w:val="auto"/>
          <w:sz w:val="24"/>
          <w:szCs w:val="24"/>
        </w:rPr>
        <w:t>月</w:t>
      </w:r>
      <w:r>
        <w:rPr>
          <w:rFonts w:hint="eastAsia" w:ascii="宋体" w:hAnsi="宋体"/>
          <w:color w:val="auto"/>
          <w:sz w:val="24"/>
          <w:szCs w:val="24"/>
          <w:lang w:val="en-US" w:eastAsia="zh-CN"/>
        </w:rPr>
        <w:t>24</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hint="eastAsia" w:ascii="微软雅黑" w:eastAsia="微软雅黑"/>
          <w:bCs/>
          <w:szCs w:val="21"/>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hLLoGT8CAACy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tHdNTE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a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LR3TUx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51D42A6"/>
    <w:multiLevelType w:val="singleLevel"/>
    <w:tmpl w:val="651D42A6"/>
    <w:lvl w:ilvl="0" w:tentative="0">
      <w:start w:val="1"/>
      <w:numFmt w:val="decimal"/>
      <w:suff w:val="nothing"/>
      <w:lvlText w:val="%1、"/>
      <w:lvlJc w:val="left"/>
    </w:lvl>
  </w:abstractNum>
  <w:abstractNum w:abstractNumId="10">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10"/>
  </w:num>
  <w:num w:numId="8">
    <w:abstractNumId w:val="0"/>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055D2EB0"/>
    <w:rsid w:val="0C333A20"/>
    <w:rsid w:val="10772EB5"/>
    <w:rsid w:val="11DE5603"/>
    <w:rsid w:val="13BA318B"/>
    <w:rsid w:val="152B2857"/>
    <w:rsid w:val="16AA6B17"/>
    <w:rsid w:val="1C1D6140"/>
    <w:rsid w:val="1C28711D"/>
    <w:rsid w:val="1F415A0F"/>
    <w:rsid w:val="1FC61767"/>
    <w:rsid w:val="234F5E22"/>
    <w:rsid w:val="23F27268"/>
    <w:rsid w:val="252D19D6"/>
    <w:rsid w:val="25A87FB8"/>
    <w:rsid w:val="25F13BFC"/>
    <w:rsid w:val="2D230D73"/>
    <w:rsid w:val="2DFD089F"/>
    <w:rsid w:val="2E34761D"/>
    <w:rsid w:val="30033579"/>
    <w:rsid w:val="32216798"/>
    <w:rsid w:val="323F2693"/>
    <w:rsid w:val="34FF5DC8"/>
    <w:rsid w:val="390D4485"/>
    <w:rsid w:val="3A4B4F63"/>
    <w:rsid w:val="3C09736A"/>
    <w:rsid w:val="3F114200"/>
    <w:rsid w:val="41417945"/>
    <w:rsid w:val="41DB42F4"/>
    <w:rsid w:val="454E4D64"/>
    <w:rsid w:val="46F31726"/>
    <w:rsid w:val="476201D7"/>
    <w:rsid w:val="4C62699D"/>
    <w:rsid w:val="513C3EF8"/>
    <w:rsid w:val="53D27EE3"/>
    <w:rsid w:val="556B3A6A"/>
    <w:rsid w:val="584B20E6"/>
    <w:rsid w:val="589B3C10"/>
    <w:rsid w:val="594C0BD6"/>
    <w:rsid w:val="5B2D6E0C"/>
    <w:rsid w:val="5DA113C7"/>
    <w:rsid w:val="5DA500D7"/>
    <w:rsid w:val="603E0EA5"/>
    <w:rsid w:val="607D1710"/>
    <w:rsid w:val="62CA5CF7"/>
    <w:rsid w:val="6D663618"/>
    <w:rsid w:val="71CE0F14"/>
    <w:rsid w:val="737502D4"/>
    <w:rsid w:val="74965A4A"/>
    <w:rsid w:val="76892D68"/>
    <w:rsid w:val="772E1C21"/>
    <w:rsid w:val="7A2558BE"/>
    <w:rsid w:val="7C736239"/>
    <w:rsid w:val="7E83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9810F037509D4CBD9CAF2585310DCE3B</vt:lpwstr>
  </property>
</Properties>
</file>