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轧钢部能源三级计量安装工程项目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06</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29</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ascii="宋体" w:hAnsi="宋体"/>
          <w:bCs/>
          <w:color w:val="FF0000"/>
          <w:sz w:val="24"/>
          <w:szCs w:val="24"/>
          <w:u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30</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本公司拟对轧钢部能源三级计量安装工程项目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轧钢部能源三级计量安装工程项目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w:t>
      </w:r>
      <w:r>
        <w:rPr>
          <w:rFonts w:hint="eastAsia" w:ascii="宋体" w:hAnsi="宋体"/>
          <w:color w:val="auto"/>
          <w:lang w:val="en-US" w:eastAsia="zh-CN"/>
        </w:rPr>
        <w:t>含流量计及配套附件安装、仪表箱（柜）安装、钢结构制安、电缆敷设等电气安装等</w:t>
      </w:r>
      <w:r>
        <w:rPr>
          <w:rFonts w:hint="eastAsia" w:ascii="宋体" w:hAnsi="宋体"/>
          <w:color w:val="auto"/>
          <w:lang w:eastAsia="zh-CN"/>
        </w:rPr>
        <w:t>图纸内全部工程量</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2022-07-10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2022-08-29                                                    </w:t>
      </w:r>
    </w:p>
    <w:p>
      <w:pPr>
        <w:spacing w:line="360" w:lineRule="auto"/>
        <w:rPr>
          <w:rFonts w:ascii="宋体" w:hAnsi="宋体"/>
          <w:color w:val="auto"/>
        </w:rPr>
      </w:pPr>
      <w:r>
        <w:rPr>
          <w:rFonts w:hint="eastAsia" w:ascii="宋体" w:hAnsi="宋体"/>
          <w:color w:val="auto"/>
          <w:lang w:val="en-US" w:eastAsia="zh-CN"/>
        </w:rPr>
        <w:t>合同工期总日历天数 50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该工程所有材料（除阀门、流量计、电缆外）由承包人提供。</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单价包干部分材料价差除钢材和混凝土外不予调整，钢材和混凝土价格以2022年第5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pStyle w:val="18"/>
        <w:widowControl/>
        <w:numPr>
          <w:ilvl w:val="0"/>
          <w:numId w:val="0"/>
        </w:numPr>
        <w:spacing w:before="156" w:beforeLines="50" w:after="156" w:afterLines="50"/>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w:t>
      </w:r>
      <w:r>
        <w:rPr>
          <w:rFonts w:hint="eastAsia" w:ascii="宋体" w:hAnsi="宋体" w:cs="宋体" w:eastAsiaTheme="minorEastAsia"/>
          <w:color w:val="auto"/>
          <w:kern w:val="2"/>
          <w:sz w:val="21"/>
          <w:szCs w:val="22"/>
          <w:lang w:val="en-US" w:eastAsia="zh-CN" w:bidi="ar-SA"/>
        </w:rPr>
        <w:t>本工程无预付款。工程完工后付至已完工程量的70%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jc w:val="both"/>
        <w:rPr>
          <w:rFonts w:ascii="宋体" w:hAnsi="宋体"/>
          <w:b/>
          <w:bCs/>
          <w:sz w:val="36"/>
          <w:szCs w:val="36"/>
          <w:highlight w:val="none"/>
        </w:rPr>
      </w:pPr>
      <w:r>
        <w:rPr>
          <w:rFonts w:hint="eastAsia" w:ascii="宋体" w:hAnsi="宋体"/>
          <w:b/>
          <w:bCs/>
          <w:color w:val="auto"/>
          <w:sz w:val="21"/>
          <w:szCs w:val="21"/>
          <w:u w:val="none"/>
          <w:lang w:val="en-US" w:eastAsia="zh-CN"/>
        </w:rPr>
        <w:t xml:space="preserve">附件1                                       </w:t>
      </w:r>
      <w:r>
        <w:rPr>
          <w:rFonts w:hint="eastAsia" w:ascii="宋体" w:hAnsi="宋体"/>
          <w:b/>
          <w:bCs/>
          <w:sz w:val="36"/>
          <w:szCs w:val="36"/>
          <w:highlight w:val="none"/>
          <w:u w:val="single"/>
        </w:rPr>
        <w:t xml:space="preserve"> </w:t>
      </w:r>
      <w:r>
        <w:rPr>
          <w:rFonts w:hint="eastAsia" w:ascii="宋体" w:hAnsi="宋体"/>
          <w:b/>
          <w:bCs/>
          <w:sz w:val="36"/>
          <w:szCs w:val="36"/>
          <w:highlight w:val="none"/>
          <w:u w:val="single"/>
          <w:lang w:eastAsia="zh-CN"/>
        </w:rPr>
        <w:t>轧钢部能源三级计量安装工程</w:t>
      </w:r>
      <w:r>
        <w:rPr>
          <w:rFonts w:hint="eastAsia" w:ascii="宋体" w:hAnsi="宋体"/>
          <w:b/>
          <w:bCs/>
          <w:sz w:val="36"/>
          <w:szCs w:val="36"/>
          <w:highlight w:val="none"/>
          <w:u w:val="single"/>
        </w:rPr>
        <w:t xml:space="preserve"> </w:t>
      </w:r>
      <w:bookmarkStart w:id="3" w:name="_GoBack"/>
      <w:r>
        <w:rPr>
          <w:rFonts w:hint="eastAsia" w:ascii="宋体" w:hAnsi="宋体"/>
          <w:b/>
          <w:bCs/>
          <w:sz w:val="36"/>
          <w:szCs w:val="36"/>
          <w:highlight w:val="none"/>
          <w:u w:val="none"/>
          <w:lang w:val="en-US" w:eastAsia="zh-CN"/>
        </w:rPr>
        <w:t>项目</w:t>
      </w:r>
      <w:bookmarkEnd w:id="3"/>
      <w:r>
        <w:rPr>
          <w:rFonts w:hint="eastAsia" w:ascii="宋体" w:hAnsi="宋体"/>
          <w:b/>
          <w:bCs/>
          <w:sz w:val="36"/>
          <w:szCs w:val="36"/>
          <w:highlight w:val="none"/>
          <w:lang w:val="en-US" w:eastAsia="zh-CN"/>
        </w:rPr>
        <w:t>报价</w:t>
      </w:r>
      <w:r>
        <w:rPr>
          <w:rFonts w:hint="eastAsia" w:ascii="宋体" w:hAnsi="宋体"/>
          <w:b/>
          <w:bCs/>
          <w:sz w:val="36"/>
          <w:szCs w:val="36"/>
          <w:highlight w:val="none"/>
        </w:rPr>
        <w:t>单</w:t>
      </w:r>
    </w:p>
    <w:tbl>
      <w:tblPr>
        <w:tblStyle w:val="13"/>
        <w:tblpPr w:leftFromText="180" w:rightFromText="180" w:vertAnchor="text" w:horzAnchor="page" w:tblpX="1071" w:tblpY="171"/>
        <w:tblOverlap w:val="never"/>
        <w:tblW w:w="5059"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48"/>
        <w:gridCol w:w="2010"/>
        <w:gridCol w:w="980"/>
        <w:gridCol w:w="750"/>
        <w:gridCol w:w="1030"/>
        <w:gridCol w:w="996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9" w:hRule="atLeast"/>
        </w:trPr>
        <w:tc>
          <w:tcPr>
            <w:tcW w:w="648"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highlight w:val="none"/>
              </w:rPr>
            </w:pPr>
            <w:r>
              <w:rPr>
                <w:rFonts w:hint="eastAsia" w:ascii="宋体" w:hAnsi="宋体" w:eastAsia="宋体" w:cs="宋体"/>
                <w:b/>
                <w:bCs/>
                <w:i w:val="0"/>
                <w:iCs w:val="0"/>
                <w:color w:val="000000"/>
                <w:kern w:val="0"/>
                <w:sz w:val="21"/>
                <w:szCs w:val="21"/>
                <w:u w:val="none"/>
                <w:lang w:val="en-US" w:eastAsia="zh-CN" w:bidi="ar"/>
              </w:rPr>
              <w:t>序号</w:t>
            </w:r>
          </w:p>
        </w:tc>
        <w:tc>
          <w:tcPr>
            <w:tcW w:w="2010"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highlight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980"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图号</w:t>
            </w:r>
          </w:p>
        </w:tc>
        <w:tc>
          <w:tcPr>
            <w:tcW w:w="750"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highlight w:val="none"/>
              </w:rPr>
            </w:pPr>
            <w:r>
              <w:rPr>
                <w:rFonts w:hint="eastAsia" w:ascii="宋体" w:hAnsi="宋体" w:eastAsia="宋体" w:cs="宋体"/>
                <w:b/>
                <w:bCs/>
                <w:i w:val="0"/>
                <w:iCs w:val="0"/>
                <w:color w:val="000000"/>
                <w:kern w:val="0"/>
                <w:sz w:val="21"/>
                <w:szCs w:val="21"/>
                <w:u w:val="none"/>
                <w:lang w:val="en-US" w:eastAsia="zh-CN" w:bidi="ar"/>
              </w:rPr>
              <w:t>单位</w:t>
            </w:r>
          </w:p>
        </w:tc>
        <w:tc>
          <w:tcPr>
            <w:tcW w:w="1030"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highlight w:val="none"/>
              </w:rPr>
            </w:pPr>
            <w:r>
              <w:rPr>
                <w:rFonts w:hint="eastAsia" w:ascii="宋体" w:hAnsi="宋体" w:eastAsia="宋体" w:cs="宋体"/>
                <w:b/>
                <w:bCs/>
                <w:i w:val="0"/>
                <w:iCs w:val="0"/>
                <w:color w:val="000000"/>
                <w:kern w:val="0"/>
                <w:sz w:val="21"/>
                <w:szCs w:val="21"/>
                <w:u w:val="none"/>
                <w:lang w:val="en-US" w:eastAsia="zh-CN" w:bidi="ar"/>
              </w:rPr>
              <w:t>工程量</w:t>
            </w:r>
          </w:p>
        </w:tc>
        <w:tc>
          <w:tcPr>
            <w:tcW w:w="9960"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4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01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highlight w:val="none"/>
              </w:rPr>
            </w:pPr>
            <w:r>
              <w:rPr>
                <w:rFonts w:hint="eastAsia" w:ascii="宋体" w:hAnsi="宋体" w:eastAsia="宋体" w:cs="宋体"/>
                <w:i w:val="0"/>
                <w:iCs w:val="0"/>
                <w:color w:val="000000"/>
                <w:kern w:val="0"/>
                <w:sz w:val="18"/>
                <w:szCs w:val="18"/>
                <w:u w:val="none"/>
                <w:lang w:val="en-US" w:eastAsia="zh-CN" w:bidi="ar"/>
              </w:rPr>
              <w:t>电力电缆敷设（≤10m2）</w:t>
            </w:r>
          </w:p>
        </w:tc>
        <w:tc>
          <w:tcPr>
            <w:tcW w:w="980" w:type="dxa"/>
            <w:vMerge w:val="restar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highlight w:val="none"/>
              </w:rPr>
            </w:pPr>
            <w:r>
              <w:rPr>
                <w:rFonts w:hint="eastAsia" w:ascii="宋体" w:hAnsi="宋体" w:eastAsia="宋体" w:cs="宋体"/>
                <w:i w:val="0"/>
                <w:iCs w:val="0"/>
                <w:color w:val="000000"/>
                <w:kern w:val="0"/>
                <w:sz w:val="18"/>
                <w:szCs w:val="18"/>
                <w:u w:val="none"/>
                <w:lang w:val="en-US" w:eastAsia="zh-CN" w:bidi="ar"/>
              </w:rPr>
              <w:t>22030316.01B04</w:t>
            </w:r>
          </w:p>
        </w:tc>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highlight w:val="none"/>
              </w:rPr>
            </w:pPr>
            <w:r>
              <w:rPr>
                <w:rFonts w:hint="eastAsia" w:ascii="宋体" w:hAnsi="宋体" w:eastAsia="宋体" w:cs="宋体"/>
                <w:i w:val="0"/>
                <w:iCs w:val="0"/>
                <w:color w:val="000000"/>
                <w:kern w:val="0"/>
                <w:sz w:val="18"/>
                <w:szCs w:val="18"/>
                <w:u w:val="none"/>
                <w:lang w:val="en-US" w:eastAsia="zh-CN" w:bidi="ar"/>
              </w:rPr>
              <w:t>m</w:t>
            </w:r>
          </w:p>
        </w:tc>
        <w:tc>
          <w:tcPr>
            <w:tcW w:w="103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highlight w:val="none"/>
              </w:rPr>
            </w:pPr>
            <w:r>
              <w:rPr>
                <w:rFonts w:hint="eastAsia" w:ascii="宋体" w:hAnsi="宋体" w:eastAsia="宋体" w:cs="宋体"/>
                <w:i w:val="0"/>
                <w:iCs w:val="0"/>
                <w:color w:val="000000"/>
                <w:kern w:val="0"/>
                <w:sz w:val="18"/>
                <w:szCs w:val="18"/>
                <w:u w:val="none"/>
                <w:lang w:val="en-US" w:eastAsia="zh-CN" w:bidi="ar"/>
              </w:rPr>
              <w:t>300</w:t>
            </w:r>
          </w:p>
        </w:tc>
        <w:tc>
          <w:tcPr>
            <w:tcW w:w="996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sz w:val="18"/>
                <w:szCs w:val="18"/>
                <w:highlight w:val="none"/>
              </w:rPr>
            </w:pPr>
            <w:r>
              <w:rPr>
                <w:rFonts w:hint="eastAsia" w:ascii="宋体" w:hAnsi="宋体" w:eastAsia="宋体" w:cs="宋体"/>
                <w:i w:val="0"/>
                <w:iCs w:val="0"/>
                <w:color w:val="000000"/>
                <w:kern w:val="0"/>
                <w:sz w:val="18"/>
                <w:szCs w:val="18"/>
                <w:u w:val="none"/>
                <w:lang w:val="en-US" w:eastAsia="zh-CN" w:bidi="ar"/>
              </w:rPr>
              <w:t>拦标价：7.5元/m。包含电力电缆敷设、标识以及所有材料的卸车、运输、倒运等全部工序涉及的人工费、机械费、材料费（不含电缆材料费）、措施费、不可竞争费、税金、水电费等全部费用。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4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2</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电力电缆终端头制作安装（≤10m2）</w:t>
            </w: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个</w:t>
            </w:r>
          </w:p>
        </w:tc>
        <w:tc>
          <w:tcPr>
            <w:tcW w:w="1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6</w:t>
            </w:r>
          </w:p>
        </w:tc>
        <w:tc>
          <w:tcPr>
            <w:tcW w:w="9960" w:type="dxa"/>
            <w:tcBorders>
              <w:top w:val="single" w:color="auto" w:sz="4" w:space="0"/>
              <w:left w:val="single" w:color="auto" w:sz="4" w:space="0"/>
              <w:bottom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拦标价：78元/个。包含电力电缆终端头制作、安装以及所有材料的卸车、运输、倒运等全部工序涉及的人工费、机械费、材料费、措施费、不可竞争费、税金、水电费等全部费用。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4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3</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控制电缆敷设（≤6芯）</w:t>
            </w: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m</w:t>
            </w:r>
          </w:p>
        </w:tc>
        <w:tc>
          <w:tcPr>
            <w:tcW w:w="10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2500</w:t>
            </w:r>
          </w:p>
        </w:tc>
        <w:tc>
          <w:tcPr>
            <w:tcW w:w="9960" w:type="dxa"/>
            <w:tcBorders>
              <w:top w:val="single" w:color="auto" w:sz="4" w:space="0"/>
              <w:left w:val="single" w:color="auto" w:sz="4" w:space="0"/>
              <w:bottom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拦标价：7元/m。包含控制电缆敷设、标识以及所有材料的卸车、运输、倒运等全部工序涉及的人工费、机械费、材料费（不含控制电缆材料费）、措施费、不可竞争费、税金、水电费等全部费用。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4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4</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控制电缆终端头制作安装（≤6芯）</w:t>
            </w:r>
          </w:p>
        </w:tc>
        <w:tc>
          <w:tcPr>
            <w:tcW w:w="98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个</w:t>
            </w:r>
          </w:p>
        </w:tc>
        <w:tc>
          <w:tcPr>
            <w:tcW w:w="1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40</w:t>
            </w:r>
          </w:p>
        </w:tc>
        <w:tc>
          <w:tcPr>
            <w:tcW w:w="996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拦标价：80元/个。包含控制电缆终端头制作、安装以及所有材料的卸车、运输、倒运等全部工序涉及的人工费、机械费、材料费、措施费、不可竞争费、税金、水电费等全部费用。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4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DN100-DN200（含）内藏式环形椎体流量计和孔板流量计安装</w:t>
            </w:r>
          </w:p>
        </w:tc>
        <w:tc>
          <w:tcPr>
            <w:tcW w:w="98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套</w:t>
            </w:r>
          </w:p>
        </w:tc>
        <w:tc>
          <w:tcPr>
            <w:tcW w:w="1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96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拦标价：3500元/套。包含管道切除，整套流量计及配套法兰的安装、调试、标识以及所有材料的卸车、运输、倒运等全部工序涉及的人工费、机械费、材料费（不含流量计及法兰材料费）、措施费、不可竞争费、税金、水电费等全部费用。（整套流量计包含流量计、热电阻、压力变送器、差压变送器、三阀组、短节、一次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2" w:hRule="atLeast"/>
        </w:trPr>
        <w:tc>
          <w:tcPr>
            <w:tcW w:w="64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DN200-DN300（含）内藏式环形椎体流量计和孔板流量计安装</w:t>
            </w:r>
          </w:p>
        </w:tc>
        <w:tc>
          <w:tcPr>
            <w:tcW w:w="98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96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4500元/套。包含管道切除，整套流量计及配套法兰的安装、调试、标识以及所有材料的卸车、运输、倒运等全部工序涉及的人工费、机械费、材料费（不含流量计及法兰材料费）、措施费、不可竞争费、税金、水电费等全部费用。（整套流量计包含流量计、热电阻、压力变送器、差压变送器、三阀组、短节、一次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64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DN1300内藏式环形椎体流量计安装</w:t>
            </w:r>
          </w:p>
        </w:tc>
        <w:tc>
          <w:tcPr>
            <w:tcW w:w="98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18"/>
                <w:szCs w:val="18"/>
                <w:highlight w:val="none"/>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96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34000元/套。包含管道切除，整套流量计及配套法兰的安装、调试、标识以及所有材料的卸车、运输、倒运等全部工序涉及的人工费、机械费、材料费（不含流量计及法兰材料费）、措施费、不可竞争费、税金、水电费等全部费用。（整套流量计包含流量计、热电阻、压力变送器、差压变送器、三阀组、短节、一次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4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DN100及以下涡街流量计和电磁流量计安装</w:t>
            </w:r>
          </w:p>
        </w:tc>
        <w:tc>
          <w:tcPr>
            <w:tcW w:w="98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highlight w:val="none"/>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96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2000元/套。包含管道切除，整套流量计及配套法兰的安装、调试、标识以及所有材料的卸车、运输、倒运等全部工序涉及的人工费、机械费、材料费（不含流量计及法兰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4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DN200-DN300（含）涡街和电磁流量计安装</w:t>
            </w:r>
          </w:p>
        </w:tc>
        <w:tc>
          <w:tcPr>
            <w:tcW w:w="98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highlight w:val="none"/>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96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4000元/套。包含管道切除，整套流量计及配套法兰的安装、调试、标识以及所有材料的卸车、运输、倒运等全部工序涉及的人工费、机械费、材料费（不含流量计及法兰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4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DN20镀锌钢管安装</w:t>
            </w:r>
          </w:p>
        </w:tc>
        <w:tc>
          <w:tcPr>
            <w:tcW w:w="98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highlight w:val="none"/>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996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拦标价：32元/m。包含镀锌钢管安装、接地、补漆以及所有材料的卸车、运输、倒运等全部工序涉及的人工费、机械费、材料费、措施费、不可竞争费、税金、水电费等全部费用。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4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仪表箱安装</w:t>
            </w:r>
          </w:p>
        </w:tc>
        <w:tc>
          <w:tcPr>
            <w:tcW w:w="98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highlight w:val="none"/>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96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拦标价：240元/台。包含仪表箱安装、标识以及所有材料的卸车、运输、倒运等全部工序涉及的人工费、机械费、材料费（不含仪表箱材料费）、措施费、不可竞争费、税金、水电费等全部费用。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4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钢结构制安</w:t>
            </w:r>
          </w:p>
        </w:tc>
        <w:tc>
          <w:tcPr>
            <w:tcW w:w="98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highlight w:val="none"/>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996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16000元/t。包括电缆桥架、支架、梯子、平台、栏杆等所有钢结构制安，包括卸车、运输、倒运、制作、安装、除锈、刷漆（含油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64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优惠率（不包含材料费）</w:t>
            </w:r>
          </w:p>
        </w:tc>
        <w:tc>
          <w:tcPr>
            <w:tcW w:w="98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highlight w:val="none"/>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1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暂估金额</w:t>
            </w:r>
            <w:r>
              <w:rPr>
                <w:rFonts w:hint="eastAsia" w:ascii="宋体" w:hAnsi="宋体" w:eastAsia="宋体" w:cs="宋体"/>
                <w:i w:val="0"/>
                <w:iCs w:val="0"/>
                <w:color w:val="000000"/>
                <w:kern w:val="0"/>
                <w:sz w:val="18"/>
                <w:szCs w:val="18"/>
                <w:u w:val="single"/>
                <w:lang w:val="en-US" w:eastAsia="zh-CN" w:bidi="ar"/>
              </w:rPr>
              <w:t>30000</w:t>
            </w:r>
            <w:r>
              <w:rPr>
                <w:rFonts w:hint="eastAsia" w:ascii="宋体" w:hAnsi="宋体" w:eastAsia="宋体" w:cs="宋体"/>
                <w:i w:val="0"/>
                <w:iCs w:val="0"/>
                <w:color w:val="000000"/>
                <w:kern w:val="0"/>
                <w:sz w:val="18"/>
                <w:szCs w:val="18"/>
                <w:u w:val="none"/>
                <w:lang w:val="en-US" w:eastAsia="zh-CN" w:bidi="ar"/>
              </w:rPr>
              <w:t>元</w:t>
            </w:r>
          </w:p>
        </w:tc>
        <w:tc>
          <w:tcPr>
            <w:tcW w:w="996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拦标价：1%。优惠率=（暂估金额-报价）/暂估金额*100%。执行2018版安徽省建设工程计价定额及配套费用定额，材料费不参与总价优惠。措施项目费以现场确认形式据实计取，二次搬运费不计取。</w:t>
            </w:r>
          </w:p>
        </w:tc>
      </w:tr>
    </w:tbl>
    <w:p>
      <w:pPr>
        <w:tabs>
          <w:tab w:val="left" w:pos="720"/>
          <w:tab w:val="left" w:pos="7200"/>
        </w:tabs>
        <w:snapToGrid w:val="0"/>
        <w:spacing w:line="240" w:lineRule="auto"/>
        <w:ind w:firstLine="542" w:firstLineChars="300"/>
        <w:rPr>
          <w:rFonts w:hint="eastAsia" w:ascii="宋体" w:hAnsi="宋体"/>
          <w:b/>
          <w:bCs/>
          <w:color w:val="auto"/>
          <w:sz w:val="18"/>
          <w:szCs w:val="18"/>
          <w:u w:val="none"/>
          <w:lang w:val="en-US" w:eastAsia="zh-CN"/>
        </w:rPr>
      </w:pPr>
      <w:r>
        <w:rPr>
          <w:rFonts w:hint="eastAsia" w:ascii="宋体" w:hAnsi="宋体"/>
          <w:b/>
          <w:bCs/>
          <w:color w:val="auto"/>
          <w:sz w:val="18"/>
          <w:szCs w:val="18"/>
          <w:u w:val="none"/>
          <w:lang w:val="en-US" w:eastAsia="zh-CN"/>
        </w:rPr>
        <w:t xml:space="preserve">          </w:t>
      </w:r>
    </w:p>
    <w:p>
      <w:pPr>
        <w:tabs>
          <w:tab w:val="left" w:pos="720"/>
          <w:tab w:val="left" w:pos="7200"/>
        </w:tabs>
        <w:snapToGrid w:val="0"/>
        <w:spacing w:line="240" w:lineRule="auto"/>
        <w:ind w:firstLine="181" w:firstLineChars="100"/>
        <w:rPr>
          <w:rFonts w:hint="eastAsia" w:ascii="宋体" w:hAnsi="宋体"/>
          <w:b/>
          <w:bCs/>
          <w:sz w:val="18"/>
          <w:szCs w:val="18"/>
          <w:highlight w:val="none"/>
          <w:u w:val="single"/>
        </w:rPr>
      </w:pPr>
    </w:p>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D2EB5"/>
    <w:rsid w:val="017F6BAC"/>
    <w:rsid w:val="0223002D"/>
    <w:rsid w:val="03175A1E"/>
    <w:rsid w:val="03CC35F1"/>
    <w:rsid w:val="03CD24DC"/>
    <w:rsid w:val="03E436D3"/>
    <w:rsid w:val="0423636D"/>
    <w:rsid w:val="05F62028"/>
    <w:rsid w:val="07F25F78"/>
    <w:rsid w:val="083D3F56"/>
    <w:rsid w:val="08806402"/>
    <w:rsid w:val="08CA7F4E"/>
    <w:rsid w:val="0A047221"/>
    <w:rsid w:val="0A0901C8"/>
    <w:rsid w:val="0B4A7DF3"/>
    <w:rsid w:val="0BB21CA6"/>
    <w:rsid w:val="0DFC1491"/>
    <w:rsid w:val="0E4F2C23"/>
    <w:rsid w:val="0F454D3F"/>
    <w:rsid w:val="104501EF"/>
    <w:rsid w:val="10F83127"/>
    <w:rsid w:val="11E132E5"/>
    <w:rsid w:val="121B22D6"/>
    <w:rsid w:val="133E6E16"/>
    <w:rsid w:val="13B43725"/>
    <w:rsid w:val="140F383A"/>
    <w:rsid w:val="14197C48"/>
    <w:rsid w:val="16C91F5F"/>
    <w:rsid w:val="1727792B"/>
    <w:rsid w:val="18EA1548"/>
    <w:rsid w:val="1A33768E"/>
    <w:rsid w:val="1B0616D0"/>
    <w:rsid w:val="1C1A5664"/>
    <w:rsid w:val="1C7E1688"/>
    <w:rsid w:val="1C8160E7"/>
    <w:rsid w:val="1CAB7BE0"/>
    <w:rsid w:val="1DC136C9"/>
    <w:rsid w:val="1E037CB3"/>
    <w:rsid w:val="214D2E1E"/>
    <w:rsid w:val="21D2437C"/>
    <w:rsid w:val="21F73AF2"/>
    <w:rsid w:val="22CE473A"/>
    <w:rsid w:val="23883F50"/>
    <w:rsid w:val="24AC15A9"/>
    <w:rsid w:val="24BE5194"/>
    <w:rsid w:val="24C93CD8"/>
    <w:rsid w:val="24E835CF"/>
    <w:rsid w:val="27B106C3"/>
    <w:rsid w:val="282A37D0"/>
    <w:rsid w:val="28754C22"/>
    <w:rsid w:val="29AB06DF"/>
    <w:rsid w:val="29EF4459"/>
    <w:rsid w:val="2A62363C"/>
    <w:rsid w:val="2AB9639B"/>
    <w:rsid w:val="2AFF2879"/>
    <w:rsid w:val="2C604D81"/>
    <w:rsid w:val="2CA46661"/>
    <w:rsid w:val="2FFE36B1"/>
    <w:rsid w:val="310A5319"/>
    <w:rsid w:val="3111107C"/>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4D7377"/>
    <w:rsid w:val="526A207D"/>
    <w:rsid w:val="53966193"/>
    <w:rsid w:val="54B0630B"/>
    <w:rsid w:val="54DA0463"/>
    <w:rsid w:val="558D3BDC"/>
    <w:rsid w:val="56266223"/>
    <w:rsid w:val="56F435CB"/>
    <w:rsid w:val="57181B7C"/>
    <w:rsid w:val="579A163B"/>
    <w:rsid w:val="58251DDC"/>
    <w:rsid w:val="5887576A"/>
    <w:rsid w:val="58B147C6"/>
    <w:rsid w:val="5953468B"/>
    <w:rsid w:val="59677B0A"/>
    <w:rsid w:val="59A06F0E"/>
    <w:rsid w:val="5A971EF5"/>
    <w:rsid w:val="5ACF5D45"/>
    <w:rsid w:val="5CA97B29"/>
    <w:rsid w:val="5D634D0C"/>
    <w:rsid w:val="5E513B46"/>
    <w:rsid w:val="5F533CAB"/>
    <w:rsid w:val="605F3D77"/>
    <w:rsid w:val="60692660"/>
    <w:rsid w:val="607B250C"/>
    <w:rsid w:val="62B532A4"/>
    <w:rsid w:val="646057E6"/>
    <w:rsid w:val="64760C38"/>
    <w:rsid w:val="65100BCA"/>
    <w:rsid w:val="66296C18"/>
    <w:rsid w:val="67B90FFF"/>
    <w:rsid w:val="67E85B48"/>
    <w:rsid w:val="68BB783B"/>
    <w:rsid w:val="6998730F"/>
    <w:rsid w:val="6BFA79CF"/>
    <w:rsid w:val="6CDE16B5"/>
    <w:rsid w:val="6DF65BBA"/>
    <w:rsid w:val="6EE72E54"/>
    <w:rsid w:val="6F286C4E"/>
    <w:rsid w:val="711D243B"/>
    <w:rsid w:val="71A34979"/>
    <w:rsid w:val="7216363C"/>
    <w:rsid w:val="724E1F86"/>
    <w:rsid w:val="72FE5A07"/>
    <w:rsid w:val="73F30113"/>
    <w:rsid w:val="744F5002"/>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7675</Words>
  <Characters>8039</Characters>
  <Lines>80</Lines>
  <Paragraphs>22</Paragraphs>
  <TotalTime>2</TotalTime>
  <ScaleCrop>false</ScaleCrop>
  <LinksUpToDate>false</LinksUpToDate>
  <CharactersWithSpaces>8496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2022-06-29T08:33:47Z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9C715AAECA884F55A9461866D6FA45E2</vt:lpwstr>
  </property>
</Properties>
</file>