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snapToGrid w:val="0"/>
        <w:rPr>
          <w:b/>
          <w:bCs/>
          <w:sz w:val="36"/>
        </w:rPr>
      </w:pPr>
      <w: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铸</w:t>
      </w:r>
      <w:r>
        <w:rPr>
          <w:rFonts w:hint="eastAsia"/>
          <w:b/>
          <w:bCs/>
          <w:sz w:val="32"/>
          <w:szCs w:val="32"/>
        </w:rPr>
        <w:t xml:space="preserve">件消失模铸造用涂料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</w:t>
      </w:r>
      <w:r>
        <w:rPr>
          <w:rFonts w:hint="eastAsia"/>
          <w:sz w:val="24"/>
        </w:rPr>
        <w:t xml:space="preserve"> XWHT3710</w:t>
      </w:r>
      <w:r>
        <w:rPr>
          <w:rFonts w:hint="eastAsia"/>
          <w:sz w:val="24"/>
          <w:lang w:eastAsia="zh-CN"/>
        </w:rPr>
        <w:t>-2020</w:t>
      </w:r>
      <w:r>
        <w:t xml:space="preserve">      </w:t>
      </w:r>
    </w:p>
    <w:p>
      <w:pPr>
        <w:snapToGrid w:val="0"/>
      </w:pPr>
      <w:r>
        <w:t xml:space="preserve">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 范围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本标准规定了球墨铸铁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铸件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消失模铸造用涂料的技术要求、试验方法、检验规则及贮存等。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2 规范性引用文件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下列文件中的条款通过本标准的引用而成为本标准的条款。其最新版本适用于本标准。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《芜湖新兴监控部化验操作规程》。 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3 技术要求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 w:bidi="ar"/>
        </w:rPr>
        <w:t>报名厂家需在开标前进行试验，试验合格后方能参与招标，已经试验成功的单位或正在供货的单位可不做试验）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(1)涂层具有一定的透气性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从防止铸件粘砂的角度来说，泡沫模型外表必须要涂挂涂料，而且涂层要尽可能致密；但致密的涂层不利于气化模气化后生成的气体往外逸散。因此，要求涂料具有一定的透气性，使模型气化生成的气体容易通过涂层，通过型料之间的间隙由真空泵抽走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(2)具有良好的润湿性和粘附性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聚苯乙烯泡沫塑料为非极性材料，表面张力低，不易被水基涂料润湿、渗透，因此，涂料中需加入少量表面活性剂并选择适当的粘结剂。所选用的粘结剂要求与泡沫塑料模的粘附性好，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涂挂后能在模型外表获得一定厚度的耐火涂层。涂层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要连续且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厚度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均匀。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(3)高温强度好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耐火涂层的耐火度要高，热膨胀系数要低，否则浇注过程中由于金属液的冲刷作用，很容易将粘附不牢的涂层冲刷而卷入铸件，使制品产生粘砂和夹渣等缺陷。具备在1460-1540℃的浇注温度以及-0.05~-0.07MPa箱内真空的浇注环境下，无明显粘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烧结的使用效果。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(4)干燥速度快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涂料在55℃下的干燥速度要快，不龟裂，并能形成坚固的耐火涂层。如果干燥速度过慢，不仅影响生产效率，而且由于涂层长期不能干燥、固化，可能会从气化模表面脱落。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(5)发气量要小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涂料层一经烘干后，在浇注过程中与高温金属液相接触时，不得有其它的气体产生。否则涂料层容易崩溃、脱落，所产生的气体还会影响浇注过程的平稳性。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(6)良好的涂挂性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消失模涂料的涂层比较厚，要求涂料有较高的屈服值和塑性变形能力，应严格控制涂料的流淌性，要求涂料对模片本身、美纹纸、透明胶带均能正常涂挂，不会出现挂不住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鼓包脱落等现象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4 试验方法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取成品涂料一桶加水调制后浸涂两件模型后，测试其涂挂性、涂层厚度，浸涂合格后将模型组箱试制，浇注后产品成型良好，无明显粘砂、涂层剥落性良好即可。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涂挂性检测：目测，涂层厚度均匀为合格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厚度检测：待涂层干燥后，刮下一小块，用游标卡尺检测其厚度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成分检测：目测，每次来料均会用透明瓶子留样，比对每次来料色差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5 检验规则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5.1涂料应成批提交检验，每批不大于5000kg，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5.2 涂料由供方检验，并出具产品质量证明书。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5.3 需方如提出质量异议时，应在收货之日起15日内提出，由供需双方共同提取双倍试样， 对异议项目进行检验。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5.4 经试用样件不合格，可以提取双倍试样进行复试。若复试结果仍不合格，则判定该批产品为不合格。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 包装、储运、标志和质量证明书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6.1包装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成品涂料应采用袋装或桶装。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6.2储运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储运时保持密封。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6.3应提供标志和质量证明书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D2880"/>
    <w:rsid w:val="4A644873"/>
    <w:rsid w:val="528D2880"/>
    <w:rsid w:val="65664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2022-01-04T02:28:00Z</dcterms:created>
  <dc:creator>淼森</dc:creator>
  <cp:lastModifiedBy>Administrator</cp:lastModifiedBy>
  <dcterms:modified xsi:type="dcterms:W3CDTF">2022-01-11T03:27:35Z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E04876099B9E4DC9A43DBE29F78C4E0C</vt:lpwstr>
  </property>
</Properties>
</file>