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保定河清淤询价公告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sz w:val="24"/>
          <w:szCs w:val="24"/>
          <w:lang w:val="en-US" w:eastAsia="zh-CN"/>
        </w:rPr>
        <w:t>保定河河道淤泥清理、清运等工作。范围：厂外八千立方水池----保定河副楼桥段第二个拦水坝。（具体位置可以联系业主单位现场查看）</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保定河长1020米；宽12米；高1.5米，需将河内淤泥进行清理，保定河清淤总体积约8000立方米，具体以实际发生数为准。业主单位在保定河旁提供淤泥堆放场地，但需投放方自行挖掘处理。</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投标人必须具备独立法人资格，须具有完成该项目的能力。</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报名材料：1、附件1、附件2、附件3；</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伍仟叁佰元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报价时间：2022年02月28日10:30-2022年02月28日16:00；</w:t>
      </w:r>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一、承包范围、工作内容 ：保定河河道淤泥清理、清运等工作。范围：厂外八千立方水池----保定河副楼桥段第二个拦水坝。（具体位置可以联系业主单位现场查看）</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二、工作要求：为确保保定河河道环境卫生，要求对河道底部淤泥进行清理和清运工作，施工单位需提前做好准备工作，如出现异常情况，须在24小时内到达处理，在清淤过程中不能对河道周边绿化造成破坏及现场环境的卫生影响，清理及疏通质保一年。清除淤泥合规存放，不得造成二次污染.</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三、现场情况：保定河长1020米；宽12米；高1.5米，需将河内淤泥进行清理，保定河清淤总体积约8000立方米，具体以实际发生数为准。业主单位在保定河旁提供淤泥堆放场地，但需投放方自行挖掘处理。</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四、工器具要求：清淤过程中，所有工器具、吊装设备、挖掘设备由投标方自备。</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五、费用结算：乙方根据甲方规定对保定河河道淤泥清理、清运等工作完成，经甲方现场验收合格后，开具国家正式税票，甲方收到发票并入账后，若处理无问题，支付报价费用的95%，质保期1年过后，支付剩余5%。（支付方式：现汇或银行转账）</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六、业务完成标准及相关规定</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1、投标方在投标前期联系业主单位对现场进行查看和测量，根据现场实际情况制定清淤方案，根据方案进行报总价，并附有报价表清单。施工过程中及施工结束要保证施工现场整洁。</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2、乙方在承揽我公司业务时，必须遵守我公司规定的各项规章制度，因自身原因影响生产，我公司有权要求索赔和终止合同。</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3、乙方工作人员在甲方区域擅自从事本合同以外的作业或者在工作过程中违反安全技术操作规程导致伤亡的，由乙方负责；造成甲方经济损失的应当赔偿。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4、乙方工作人员的劳保用品由乙方自行配备。</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5、劳务人员要求能吃苦，服从管理，年龄限制在25-55岁之间。</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6、投标方的人员配合、服从现场监督人员的指挥。</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刘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18955328779</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2022.02.23</w:t>
      </w:r>
      <w:bookmarkStart w:id="0" w:name="_GoBack"/>
      <w:bookmarkEnd w:id="0"/>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440" w:right="1080" w:bottom="1440" w:left="1080"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ascii="仿宋_GB2312" w:eastAsia="仿宋_GB2312"/>
          <w:color w:val="auto"/>
          <w:sz w:val="28"/>
          <w:szCs w:val="28"/>
          <w:lang w:val="en-US" w:eastAsia="zh-CN"/>
        </w:rPr>
      </w:pPr>
      <w:r>
        <w:rPr>
          <w:rFonts w:hint="eastAsia" w:ascii="仿宋_GB2312" w:eastAsia="仿宋_GB2312"/>
          <w:sz w:val="28"/>
          <w:szCs w:val="28"/>
        </w:rPr>
        <w:t xml:space="preserve">                                签字日期：</w:t>
      </w: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A301F"/>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AA417AC"/>
    <w:rsid w:val="0D0A605F"/>
    <w:rsid w:val="0DFC1491"/>
    <w:rsid w:val="0E4F2C23"/>
    <w:rsid w:val="0EC46B13"/>
    <w:rsid w:val="0F454D3F"/>
    <w:rsid w:val="0FB0474F"/>
    <w:rsid w:val="0FDE47C7"/>
    <w:rsid w:val="10077F58"/>
    <w:rsid w:val="104501EF"/>
    <w:rsid w:val="121B22D6"/>
    <w:rsid w:val="12332CE0"/>
    <w:rsid w:val="12A97509"/>
    <w:rsid w:val="133E6E16"/>
    <w:rsid w:val="14197C48"/>
    <w:rsid w:val="1A33768E"/>
    <w:rsid w:val="1B356450"/>
    <w:rsid w:val="1C7E1688"/>
    <w:rsid w:val="1C8160E7"/>
    <w:rsid w:val="1CAB7BE0"/>
    <w:rsid w:val="1D5A4829"/>
    <w:rsid w:val="1DC136C9"/>
    <w:rsid w:val="1DC4659B"/>
    <w:rsid w:val="20E64474"/>
    <w:rsid w:val="214D2E1E"/>
    <w:rsid w:val="21D2437C"/>
    <w:rsid w:val="21F73AF2"/>
    <w:rsid w:val="22854203"/>
    <w:rsid w:val="23845BF0"/>
    <w:rsid w:val="23883F50"/>
    <w:rsid w:val="24A35529"/>
    <w:rsid w:val="24BB79C6"/>
    <w:rsid w:val="24C93CD8"/>
    <w:rsid w:val="24E835CF"/>
    <w:rsid w:val="27B106C3"/>
    <w:rsid w:val="27D56E57"/>
    <w:rsid w:val="282A37D0"/>
    <w:rsid w:val="28754C22"/>
    <w:rsid w:val="29AB06DF"/>
    <w:rsid w:val="29EF4459"/>
    <w:rsid w:val="2A62363C"/>
    <w:rsid w:val="2AFF2879"/>
    <w:rsid w:val="2B4645EA"/>
    <w:rsid w:val="2DF22FC7"/>
    <w:rsid w:val="2FFE36B1"/>
    <w:rsid w:val="305B02AF"/>
    <w:rsid w:val="310A5319"/>
    <w:rsid w:val="311D4362"/>
    <w:rsid w:val="326329B3"/>
    <w:rsid w:val="34481C4C"/>
    <w:rsid w:val="347F27BE"/>
    <w:rsid w:val="364C51F0"/>
    <w:rsid w:val="37CA36AB"/>
    <w:rsid w:val="386D04A2"/>
    <w:rsid w:val="3A085004"/>
    <w:rsid w:val="3A9E2574"/>
    <w:rsid w:val="3B9F0063"/>
    <w:rsid w:val="3C062CAD"/>
    <w:rsid w:val="3D5977E3"/>
    <w:rsid w:val="400A7CF7"/>
    <w:rsid w:val="40282BA2"/>
    <w:rsid w:val="42B5472A"/>
    <w:rsid w:val="467B56CD"/>
    <w:rsid w:val="477C1FEF"/>
    <w:rsid w:val="47807B49"/>
    <w:rsid w:val="49806F97"/>
    <w:rsid w:val="49F7299F"/>
    <w:rsid w:val="4A095621"/>
    <w:rsid w:val="4A1D777A"/>
    <w:rsid w:val="4AB64A41"/>
    <w:rsid w:val="4BEB70CE"/>
    <w:rsid w:val="4C2439BA"/>
    <w:rsid w:val="4C6D2F2E"/>
    <w:rsid w:val="4C6D4D7D"/>
    <w:rsid w:val="4C6F1F1E"/>
    <w:rsid w:val="4E8A3DE2"/>
    <w:rsid w:val="4E9372E6"/>
    <w:rsid w:val="4EF83610"/>
    <w:rsid w:val="4FC1072C"/>
    <w:rsid w:val="50350D26"/>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62696C"/>
    <w:rsid w:val="6223212B"/>
    <w:rsid w:val="66296C18"/>
    <w:rsid w:val="666B6E69"/>
    <w:rsid w:val="66886A01"/>
    <w:rsid w:val="68BB783B"/>
    <w:rsid w:val="6998730F"/>
    <w:rsid w:val="6A45164A"/>
    <w:rsid w:val="6BFA79CF"/>
    <w:rsid w:val="6CDE16B5"/>
    <w:rsid w:val="6D2A14DA"/>
    <w:rsid w:val="6DF65BBA"/>
    <w:rsid w:val="6EE72E54"/>
    <w:rsid w:val="6F286C4E"/>
    <w:rsid w:val="6F4D07E7"/>
    <w:rsid w:val="70EB02B8"/>
    <w:rsid w:val="71A34979"/>
    <w:rsid w:val="724E1F86"/>
    <w:rsid w:val="72FE5A07"/>
    <w:rsid w:val="73A961CB"/>
    <w:rsid w:val="73F30113"/>
    <w:rsid w:val="7481717E"/>
    <w:rsid w:val="74E73BF7"/>
    <w:rsid w:val="75037D3A"/>
    <w:rsid w:val="765207B1"/>
    <w:rsid w:val="77676C2F"/>
    <w:rsid w:val="782F64FC"/>
    <w:rsid w:val="791E4FA3"/>
    <w:rsid w:val="79553295"/>
    <w:rsid w:val="7A1268BD"/>
    <w:rsid w:val="7BBC59D1"/>
    <w:rsid w:val="7C684EB3"/>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10</TotalTime>
  <ScaleCrop>false</ScaleCrop>
  <LinksUpToDate>false</LinksUpToDate>
  <CharactersWithSpaces>11263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2022-02-23T03:02:04Z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9C715AAECA884F55A9461866D6FA45E2</vt:lpwstr>
  </property>
</Properties>
</file>