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铸管部危化品库房工程监理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综合监理资质</w:t>
      </w:r>
      <w:r>
        <w:rPr>
          <w:rFonts w:hint="eastAsia" w:ascii="宋体" w:hAnsi="宋体"/>
          <w:bCs/>
          <w:color w:val="auto"/>
          <w:sz w:val="24"/>
          <w:szCs w:val="24"/>
          <w:u w:val="none"/>
        </w:rPr>
        <w:t>或者</w:t>
      </w:r>
      <w:r>
        <w:rPr>
          <w:rFonts w:hint="eastAsia" w:ascii="宋体" w:hAnsi="宋体"/>
          <w:bCs/>
          <w:color w:val="FF0000"/>
          <w:sz w:val="24"/>
          <w:szCs w:val="24"/>
          <w:u w:val="none"/>
        </w:rPr>
        <w:t>房屋建筑工程监理</w:t>
      </w:r>
      <w:r>
        <w:rPr>
          <w:rFonts w:hint="eastAsia" w:ascii="宋体" w:hAnsi="宋体"/>
          <w:bCs/>
          <w:color w:val="FF0000"/>
          <w:sz w:val="24"/>
          <w:szCs w:val="24"/>
          <w:u w:val="none"/>
          <w:lang w:val="en-US" w:eastAsia="zh-CN"/>
        </w:rPr>
        <w:t>专业</w:t>
      </w:r>
      <w:r>
        <w:rPr>
          <w:rFonts w:hint="eastAsia" w:ascii="宋体" w:hAnsi="宋体"/>
          <w:bCs/>
          <w:color w:val="FF0000"/>
          <w:sz w:val="24"/>
          <w:szCs w:val="24"/>
          <w:u w:val="none"/>
        </w:rPr>
        <w:t>乙级及以上专业资质</w:t>
      </w:r>
      <w:r>
        <w:rPr>
          <w:rFonts w:hint="eastAsia" w:ascii="宋体" w:hAnsi="宋体"/>
          <w:bCs/>
          <w:color w:val="auto"/>
          <w:sz w:val="24"/>
          <w:szCs w:val="24"/>
          <w:u w:val="none"/>
          <w:lang w:val="en-US" w:eastAsia="zh-CN"/>
        </w:rPr>
        <w:t>或者</w:t>
      </w:r>
      <w:r>
        <w:rPr>
          <w:rFonts w:hint="eastAsia" w:ascii="宋体" w:hAnsi="宋体"/>
          <w:bCs/>
          <w:color w:val="FF0000"/>
          <w:sz w:val="24"/>
          <w:szCs w:val="24"/>
          <w:u w:val="none"/>
        </w:rPr>
        <w:t>冶炼工程专业</w:t>
      </w:r>
      <w:r>
        <w:rPr>
          <w:rFonts w:hint="eastAsia" w:ascii="宋体" w:hAnsi="宋体"/>
          <w:bCs/>
          <w:color w:val="FF0000"/>
          <w:sz w:val="24"/>
          <w:szCs w:val="24"/>
          <w:u w:val="none"/>
          <w:lang w:val="en-US" w:eastAsia="zh-CN"/>
        </w:rPr>
        <w:t>乙</w:t>
      </w:r>
      <w:r>
        <w:rPr>
          <w:rFonts w:hint="eastAsia" w:ascii="宋体" w:hAnsi="宋体"/>
          <w:bCs/>
          <w:color w:val="FF0000"/>
          <w:sz w:val="24"/>
          <w:szCs w:val="24"/>
          <w:u w:val="none"/>
        </w:rPr>
        <w:t>级及以上资质</w:t>
      </w:r>
      <w:r>
        <w:rPr>
          <w:rFonts w:hint="eastAsia" w:ascii="宋体" w:hAnsi="宋体"/>
          <w:bCs/>
          <w:color w:val="auto"/>
          <w:sz w:val="24"/>
          <w:szCs w:val="24"/>
          <w:highlight w:val="none"/>
        </w:rPr>
        <w:t>。投标人拟派</w:t>
      </w:r>
      <w:r>
        <w:rPr>
          <w:rFonts w:hint="eastAsia"/>
          <w:sz w:val="24"/>
          <w:szCs w:val="24"/>
          <w:lang w:val="en-US" w:eastAsia="zh-CN"/>
        </w:rPr>
        <w:t>项目总监理工程师应具有中华人民共和国</w:t>
      </w:r>
      <w:r>
        <w:rPr>
          <w:rFonts w:hint="eastAsia"/>
          <w:color w:val="FF0000"/>
          <w:sz w:val="24"/>
          <w:szCs w:val="24"/>
          <w:lang w:val="en-US" w:eastAsia="zh-CN"/>
        </w:rPr>
        <w:t>监理工程师执业资格证书</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铸管部危化品库房工程监理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铸管部危化品库房工程监理</w:t>
      </w:r>
      <w:bookmarkStart w:id="3" w:name="_GoBack"/>
      <w:bookmarkEnd w:id="3"/>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包含：危化品库房的土建，钢结构制安，配套道路铺设，配套电气及照明的施工监理。施工的不同阶段需要投标方派驻相应监理员。铸管部危化品库房工程监理建安费约为250万元。</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23</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31</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100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eastAsia" w:ascii="宋体" w:hAnsi="宋体" w:cs="宋体"/>
          <w:color w:val="auto"/>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center"/>
        <w:rPr>
          <w:rFonts w:ascii="宋体" w:hAnsi="宋体"/>
          <w:b/>
          <w:bCs/>
          <w:sz w:val="36"/>
          <w:szCs w:val="36"/>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铸管部危化品库房工程监理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782" w:type="dxa"/>
        <w:tblInd w:w="0" w:type="dxa"/>
        <w:shd w:val="clear" w:color="auto" w:fill="auto"/>
        <w:tblLayout w:type="fixed"/>
        <w:tblCellMar>
          <w:top w:w="0" w:type="dxa"/>
          <w:left w:w="0" w:type="dxa"/>
          <w:bottom w:w="0" w:type="dxa"/>
          <w:right w:w="0" w:type="dxa"/>
        </w:tblCellMar>
      </w:tblPr>
      <w:tblGrid>
        <w:gridCol w:w="601"/>
        <w:gridCol w:w="1781"/>
        <w:gridCol w:w="850"/>
        <w:gridCol w:w="870"/>
        <w:gridCol w:w="820"/>
        <w:gridCol w:w="8860"/>
      </w:tblGrid>
      <w:tr>
        <w:tblPrEx>
          <w:shd w:val="clear" w:color="auto" w:fill="auto"/>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8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78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铸管部危化品库房工程监理</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82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86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包含</w:t>
            </w:r>
            <w:r>
              <w:rPr>
                <w:rFonts w:hint="eastAsia" w:ascii="宋体" w:hAnsi="宋体" w:cs="宋体"/>
                <w:i w:val="0"/>
                <w:iCs w:val="0"/>
                <w:color w:val="000000"/>
                <w:kern w:val="0"/>
                <w:sz w:val="24"/>
                <w:szCs w:val="24"/>
                <w:u w:val="none"/>
                <w:lang w:val="en-US" w:eastAsia="zh-CN" w:bidi="ar"/>
              </w:rPr>
              <w:t>危化品库房</w:t>
            </w:r>
            <w:r>
              <w:rPr>
                <w:rFonts w:hint="eastAsia" w:ascii="宋体" w:hAnsi="宋体" w:eastAsia="宋体" w:cs="宋体"/>
                <w:i w:val="0"/>
                <w:iCs w:val="0"/>
                <w:color w:val="000000"/>
                <w:kern w:val="0"/>
                <w:sz w:val="24"/>
                <w:szCs w:val="24"/>
                <w:u w:val="none"/>
                <w:lang w:val="en-US" w:eastAsia="zh-CN" w:bidi="ar"/>
              </w:rPr>
              <w:t>的土建，钢结构制安，</w:t>
            </w:r>
            <w:r>
              <w:rPr>
                <w:rFonts w:hint="eastAsia" w:ascii="宋体" w:hAnsi="宋体"/>
                <w:sz w:val="24"/>
                <w:szCs w:val="22"/>
                <w:lang w:val="en-US" w:eastAsia="zh-CN"/>
              </w:rPr>
              <w:t>配套道路铺设</w:t>
            </w:r>
            <w:r>
              <w:rPr>
                <w:rFonts w:hint="eastAsia" w:ascii="宋体" w:hAnsi="宋体" w:eastAsia="宋体" w:cs="宋体"/>
                <w:i w:val="0"/>
                <w:iCs w:val="0"/>
                <w:color w:val="000000"/>
                <w:kern w:val="0"/>
                <w:sz w:val="24"/>
                <w:szCs w:val="24"/>
                <w:u w:val="none"/>
                <w:lang w:val="en-US" w:eastAsia="zh-CN" w:bidi="ar"/>
              </w:rPr>
              <w:t>，配套电气</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照明</w:t>
            </w:r>
            <w:r>
              <w:rPr>
                <w:rFonts w:hint="eastAsia" w:ascii="宋体" w:hAnsi="宋体" w:cs="宋体"/>
                <w:i w:val="0"/>
                <w:iCs w:val="0"/>
                <w:color w:val="000000"/>
                <w:kern w:val="0"/>
                <w:sz w:val="24"/>
                <w:szCs w:val="24"/>
                <w:u w:val="none"/>
                <w:lang w:val="en-US" w:eastAsia="zh-CN" w:bidi="ar"/>
              </w:rPr>
              <w:t>施工</w:t>
            </w:r>
            <w:r>
              <w:rPr>
                <w:rFonts w:hint="eastAsia" w:ascii="宋体" w:hAnsi="宋体" w:eastAsia="宋体" w:cs="宋体"/>
                <w:i w:val="0"/>
                <w:iCs w:val="0"/>
                <w:color w:val="000000"/>
                <w:kern w:val="0"/>
                <w:sz w:val="24"/>
                <w:szCs w:val="24"/>
                <w:u w:val="none"/>
                <w:lang w:val="en-US" w:eastAsia="zh-CN" w:bidi="ar"/>
              </w:rPr>
              <w:t>的施工监理（建安费用约</w:t>
            </w:r>
            <w:r>
              <w:rPr>
                <w:rFonts w:hint="eastAsia" w:ascii="宋体" w:hAnsi="宋体" w:cs="宋体"/>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0万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。税率6%</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1E4C2F"/>
    <w:rsid w:val="29AB06DF"/>
    <w:rsid w:val="29EF4459"/>
    <w:rsid w:val="2A62363C"/>
    <w:rsid w:val="2AFF2879"/>
    <w:rsid w:val="2C604D81"/>
    <w:rsid w:val="2CA46661"/>
    <w:rsid w:val="2FFE36B1"/>
    <w:rsid w:val="310A5319"/>
    <w:rsid w:val="31777CB0"/>
    <w:rsid w:val="326329B3"/>
    <w:rsid w:val="34481C4C"/>
    <w:rsid w:val="364C51F0"/>
    <w:rsid w:val="37CA36AB"/>
    <w:rsid w:val="386D04A2"/>
    <w:rsid w:val="39913532"/>
    <w:rsid w:val="3A100A0A"/>
    <w:rsid w:val="3A9E2574"/>
    <w:rsid w:val="3B9F0063"/>
    <w:rsid w:val="3C062CAD"/>
    <w:rsid w:val="3D5977E3"/>
    <w:rsid w:val="400A7CF7"/>
    <w:rsid w:val="40555096"/>
    <w:rsid w:val="40A32F20"/>
    <w:rsid w:val="42B5472A"/>
    <w:rsid w:val="467B56CD"/>
    <w:rsid w:val="469522CC"/>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6010</Words>
  <Characters>6295</Characters>
  <Lines>80</Lines>
  <Paragraphs>22</Paragraphs>
  <TotalTime>0</TotalTime>
  <ScaleCrop>false</ScaleCrop>
  <LinksUpToDate>false</LinksUpToDate>
  <CharactersWithSpaces>6723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2022-05-07T08:25:42Z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