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炼铁部、焦化部倒运项目</w:t>
      </w:r>
    </w:p>
    <w:bookmarkEnd w:id="0"/>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4</w:t>
      </w:r>
      <w:r>
        <w:rPr>
          <w:rFonts w:ascii="宋体" w:hAnsi="宋体"/>
          <w:color w:val="000000"/>
        </w:rPr>
        <w:t>月</w:t>
      </w:r>
      <w:r>
        <w:rPr>
          <w:rFonts w:hint="eastAsia" w:ascii="宋体" w:hAnsi="宋体"/>
          <w:color w:val="000000"/>
          <w:lang w:val="en-US" w:eastAsia="zh-CN"/>
        </w:rPr>
        <w:t>19</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YSQC202105005LTBJHBDYXM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炼铁部、焦化部倒运项目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u w:val="none"/>
          <w:lang w:eastAsia="zh-CN"/>
        </w:rPr>
        <w:t>炼铁部倒运项目</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炼铁部料场原、燃料倒运，高炉及铸铁渣铁、矿渣微粉铁粒子、白灰筛下物倒运。4部重型自卸车，24小时作业。料场3部，单车倒运约20-24车/天；渣铁、铁粒子、白灰筛下物倒运需1部车。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炼铁部返焦粉倒运。1部重型自卸车，24小时作业，约18车/天。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焦化部倒运项目</w:t>
      </w:r>
    </w:p>
    <w:p>
      <w:pPr>
        <w:numPr>
          <w:ilvl w:val="0"/>
          <w:numId w:val="2"/>
        </w:num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焦化部焦丁、焦粉、焦炭、除尘灰倒运</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2部重型自卸车，24小时作业，约18车/天。</w:t>
      </w:r>
      <w:r>
        <w:rPr>
          <w:rFonts w:hint="eastAsia" w:ascii="宋体" w:hAnsi="宋体" w:eastAsia="宋体" w:cs="宋体"/>
          <w:sz w:val="24"/>
          <w:szCs w:val="24"/>
        </w:rPr>
        <w:t>受装车点空间限制，车厢不能太长</w:t>
      </w:r>
      <w:r>
        <w:rPr>
          <w:rFonts w:hint="eastAsia" w:ascii="宋体" w:hAnsi="宋体" w:eastAsia="宋体" w:cs="宋体"/>
          <w:sz w:val="24"/>
          <w:szCs w:val="24"/>
          <w:lang w:eastAsia="zh-CN"/>
        </w:rPr>
        <w:t>。</w:t>
      </w:r>
    </w:p>
    <w:p>
      <w:pPr>
        <w:numPr>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6</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3"/>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3"/>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 xml:space="preserve">年 </w:t>
      </w:r>
      <w:r>
        <w:rPr>
          <w:rFonts w:hint="eastAsia" w:ascii="宋体" w:hAnsi="宋体"/>
          <w:bCs/>
          <w:color w:val="7030A0"/>
          <w:u w:val="single"/>
          <w:lang w:val="en-US" w:eastAsia="zh-CN"/>
        </w:rPr>
        <w:t>5</w:t>
      </w:r>
      <w:r>
        <w:rPr>
          <w:rFonts w:hint="eastAsia" w:ascii="宋体" w:hAnsi="宋体"/>
          <w:bCs/>
          <w:color w:val="7030A0"/>
        </w:rPr>
        <w:t>月</w:t>
      </w:r>
      <w:r>
        <w:rPr>
          <w:rFonts w:hint="eastAsia" w:ascii="宋体" w:hAnsi="宋体"/>
          <w:bCs/>
          <w:color w:val="7030A0"/>
          <w:u w:val="single"/>
          <w:lang w:val="en-US" w:eastAsia="zh-CN"/>
        </w:rPr>
        <w:t>6</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3"/>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3"/>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3"/>
        </w:numPr>
        <w:spacing w:line="240" w:lineRule="auto"/>
        <w:jc w:val="both"/>
        <w:rPr>
          <w:rFonts w:ascii="宋体" w:hAnsi="宋体"/>
          <w:b/>
        </w:rPr>
      </w:pPr>
      <w:r>
        <w:rPr>
          <w:rFonts w:hint="eastAsia" w:ascii="宋体" w:hAnsi="宋体"/>
          <w:b/>
        </w:rPr>
        <w:t>投标人要求</w:t>
      </w:r>
    </w:p>
    <w:p>
      <w:pPr>
        <w:widowControl w:val="0"/>
        <w:numPr>
          <w:ilvl w:val="0"/>
          <w:numId w:val="4"/>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5"/>
        </w:numPr>
        <w:jc w:val="both"/>
        <w:rPr>
          <w:rFonts w:ascii="宋体" w:hAnsi="宋体"/>
        </w:rPr>
      </w:pPr>
      <w:r>
        <w:rPr>
          <w:rFonts w:hint="eastAsia" w:ascii="宋体" w:hAnsi="宋体"/>
        </w:rPr>
        <w:t>具有独立订立合同的权利。</w:t>
      </w:r>
    </w:p>
    <w:p>
      <w:pPr>
        <w:widowControl w:val="0"/>
        <w:numPr>
          <w:ilvl w:val="0"/>
          <w:numId w:val="5"/>
        </w:numPr>
        <w:jc w:val="both"/>
        <w:rPr>
          <w:rFonts w:hint="eastAsia" w:ascii="宋体" w:hAnsi="宋体"/>
          <w:color w:val="FF0000"/>
        </w:rPr>
      </w:pPr>
      <w:r>
        <w:rPr>
          <w:rFonts w:hint="eastAsia" w:ascii="宋体" w:hAnsi="宋体"/>
        </w:rPr>
        <w:t>必须有履约能力和一定垫资能力。</w:t>
      </w:r>
    </w:p>
    <w:p>
      <w:pPr>
        <w:widowControl w:val="0"/>
        <w:numPr>
          <w:ilvl w:val="0"/>
          <w:numId w:val="5"/>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5"/>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4"/>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6"/>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6"/>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6"/>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7"/>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7"/>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8"/>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8"/>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9"/>
        </w:numPr>
        <w:spacing w:line="240" w:lineRule="auto"/>
        <w:ind w:left="0" w:leftChars="0" w:firstLine="480" w:firstLineChars="200"/>
        <w:rPr>
          <w:rFonts w:ascii="宋体" w:hAnsi="宋体"/>
        </w:rPr>
      </w:pPr>
      <w:r>
        <w:rPr>
          <w:rFonts w:ascii="宋体" w:hAnsi="宋体"/>
        </w:rPr>
        <w:t>投标文件有密封与标记</w:t>
      </w:r>
    </w:p>
    <w:p>
      <w:pPr>
        <w:numPr>
          <w:ilvl w:val="0"/>
          <w:numId w:val="9"/>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9"/>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9"/>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10"/>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10"/>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10"/>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10"/>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10"/>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10"/>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10"/>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10"/>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10"/>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10"/>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10"/>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10"/>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11"/>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11"/>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承揽单位作业人员应持证上岗，车证要相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作业车辆须符合法律法规要求、符合公司车辆管理要求。车辆须达到国五及以上排放标准，应根据芜湖新兴铸管的需要提供排放达标的证明材料。倒运易扬尘物料的车辆，必须采取全覆盖措施（非人工）。车辆因维修、保养不能作业时，承揽单位应及时安排备用车辆作业，以保证芜湖新兴正常生产。</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4、合同履约保证金为10万元人民币，承揽单位应在合同订立前从其基本账户转出。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进厂履约前，承揽单位需按芜湖新兴安全监察部的要求提交相关材料（公司资质文件、安全保障金缴纳记录、作业人员保险、安全生产制度文件、主要负责人及安全生产管理人员资格证书，等等），完成安全资质备案工作，签订安全生产协议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6、承揽单位作业人员、车辆应在合同履行前10日全部到位，以完成人员培训、人员进厂手续及车辆进厂手续等。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9、在合同履行中，承揽单位必须遵守芜湖新兴的安全、生产、环保、质量、现场、车辆交通等规章制度。如违反相关规章制度，芜湖新兴将依据规章制度要求给予考核。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11、结算方式：按月结算，收票次月付款（转账或现汇）。</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12、合同期：2021年6月28日----2023年6月27日。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widowControl w:val="0"/>
        <w:tabs>
          <w:tab w:val="left" w:pos="420"/>
          <w:tab w:val="left" w:pos="630"/>
        </w:tabs>
        <w:spacing w:line="300" w:lineRule="auto"/>
        <w:jc w:val="center"/>
        <w:rPr>
          <w:rFonts w:hint="eastAsia" w:ascii="宋体" w:hAnsi="宋体" w:cs="宋体"/>
          <w:color w:val="auto"/>
          <w:kern w:val="2"/>
          <w:sz w:val="24"/>
          <w:szCs w:val="22"/>
          <w:lang w:val="en-US"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W w:w="97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2"/>
        <w:gridCol w:w="2790"/>
        <w:gridCol w:w="1470"/>
        <w:gridCol w:w="3444"/>
        <w:gridCol w:w="750"/>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b w:val="0"/>
                <w:bCs w:val="0"/>
                <w:i w:val="0"/>
                <w:snapToGrid/>
                <w:color w:val="auto"/>
                <w:sz w:val="24"/>
                <w:szCs w:val="24"/>
                <w:u w:val="none"/>
                <w:lang w:eastAsia="zh-CN"/>
              </w:rPr>
            </w:pPr>
            <w:r>
              <w:rPr>
                <w:rFonts w:hint="eastAsia" w:ascii="宋体" w:hAnsi="宋体"/>
                <w:b w:val="0"/>
                <w:bCs w:val="0"/>
                <w:i w:val="0"/>
                <w:snapToGrid/>
                <w:color w:val="auto"/>
                <w:sz w:val="24"/>
                <w:szCs w:val="24"/>
                <w:u w:val="none"/>
                <w:lang w:eastAsia="zh-CN"/>
              </w:rPr>
              <w:t>序号</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eastAsia" w:ascii="宋体" w:hAnsi="宋体" w:eastAsia="宋体"/>
                <w:b w:val="0"/>
                <w:bCs w:val="0"/>
                <w:i w:val="0"/>
                <w:snapToGrid/>
                <w:color w:val="auto"/>
                <w:sz w:val="24"/>
                <w:szCs w:val="24"/>
                <w:u w:val="none"/>
                <w:lang w:eastAsia="zh-CN"/>
              </w:rPr>
              <w:t>业务内容</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default" w:ascii="宋体" w:hAnsi="宋体" w:eastAsia="宋体"/>
                <w:b w:val="0"/>
                <w:bCs w:val="0"/>
                <w:i w:val="0"/>
                <w:snapToGrid/>
                <w:color w:val="auto"/>
                <w:sz w:val="24"/>
                <w:szCs w:val="24"/>
                <w:u w:val="none"/>
                <w:lang w:eastAsia="zh-CN"/>
              </w:rPr>
              <w:t>车型</w:t>
            </w: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b w:val="0"/>
                <w:bCs w:val="0"/>
                <w:snapToGrid/>
                <w:color w:val="auto"/>
                <w:sz w:val="24"/>
                <w:szCs w:val="24"/>
                <w:lang w:eastAsia="zh-CN"/>
              </w:rPr>
            </w:pPr>
            <w:r>
              <w:rPr>
                <w:rFonts w:hint="eastAsia" w:ascii="宋体" w:hAnsi="宋体"/>
                <w:b w:val="0"/>
                <w:bCs w:val="0"/>
                <w:snapToGrid/>
                <w:color w:val="auto"/>
                <w:sz w:val="24"/>
                <w:szCs w:val="24"/>
                <w:lang w:eastAsia="zh-CN"/>
              </w:rPr>
              <w:t>结算方式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r>
              <w:rPr>
                <w:rFonts w:hint="default" w:ascii="宋体" w:hAnsi="宋体" w:eastAsia="宋体"/>
                <w:b w:val="0"/>
                <w:bCs w:val="0"/>
                <w:i w:val="0"/>
                <w:snapToGrid/>
                <w:color w:val="auto"/>
                <w:sz w:val="24"/>
                <w:szCs w:val="24"/>
                <w:u w:val="none"/>
                <w:lang w:eastAsia="zh-CN"/>
              </w:rPr>
              <w:t>单</w:t>
            </w:r>
            <w:r>
              <w:rPr>
                <w:rFonts w:hint="eastAsia" w:ascii="宋体" w:hAnsi="宋体" w:eastAsia="宋体"/>
                <w:b w:val="0"/>
                <w:bCs w:val="0"/>
                <w:i w:val="0"/>
                <w:snapToGrid/>
                <w:color w:val="auto"/>
                <w:sz w:val="24"/>
                <w:szCs w:val="24"/>
                <w:u w:val="none"/>
                <w:lang w:val="en-US" w:eastAsia="zh-CN"/>
              </w:rPr>
              <w:t xml:space="preserve"> </w:t>
            </w:r>
            <w:r>
              <w:rPr>
                <w:rFonts w:hint="default" w:ascii="宋体" w:hAnsi="宋体" w:eastAsia="宋体"/>
                <w:b w:val="0"/>
                <w:bCs w:val="0"/>
                <w:i w:val="0"/>
                <w:snapToGrid/>
                <w:color w:val="auto"/>
                <w:sz w:val="24"/>
                <w:szCs w:val="24"/>
                <w:u w:val="none"/>
                <w:lang w:eastAsia="zh-CN"/>
              </w:rPr>
              <w:t>价</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eastAsia" w:ascii="宋体" w:hAnsi="宋体"/>
                <w:b w:val="0"/>
                <w:bCs w:val="0"/>
                <w:i w:val="0"/>
                <w:snapToGrid/>
                <w:color w:val="auto"/>
                <w:sz w:val="24"/>
                <w:szCs w:val="24"/>
                <w:u w:val="none"/>
                <w:lang w:eastAsia="zh-CN"/>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8"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default" w:ascii="宋体" w:hAnsi="宋体" w:eastAsia="宋体"/>
                <w:b w:val="0"/>
                <w:bCs w:val="0"/>
                <w:i w:val="0"/>
                <w:snapToGrid/>
                <w:color w:val="auto"/>
                <w:sz w:val="24"/>
                <w:szCs w:val="24"/>
                <w:u w:val="none"/>
                <w:lang w:eastAsia="zh-CN"/>
              </w:rPr>
            </w:pPr>
            <w:r>
              <w:rPr>
                <w:rFonts w:hint="eastAsia" w:ascii="宋体" w:hAnsi="宋体" w:eastAsia="宋体" w:cs="宋体"/>
                <w:sz w:val="24"/>
                <w:szCs w:val="24"/>
                <w:vertAlign w:val="baseline"/>
              </w:rPr>
              <w:t>炼铁部</w:t>
            </w:r>
            <w:r>
              <w:rPr>
                <w:rFonts w:hint="eastAsia" w:ascii="宋体" w:hAnsi="宋体" w:cs="宋体"/>
                <w:sz w:val="24"/>
                <w:szCs w:val="24"/>
                <w:vertAlign w:val="baseline"/>
                <w:lang w:eastAsia="zh-CN"/>
              </w:rPr>
              <w:t>料场</w:t>
            </w:r>
            <w:r>
              <w:rPr>
                <w:rFonts w:hint="eastAsia" w:ascii="宋体" w:hAnsi="宋体" w:eastAsia="宋体" w:cs="宋体"/>
                <w:sz w:val="24"/>
                <w:szCs w:val="24"/>
                <w:vertAlign w:val="baseline"/>
              </w:rPr>
              <w:t>原、燃料倒运，高炉及铸铁渣铁、</w:t>
            </w:r>
            <w:r>
              <w:rPr>
                <w:rFonts w:hint="eastAsia" w:ascii="宋体" w:hAnsi="宋体" w:cs="宋体"/>
                <w:sz w:val="24"/>
                <w:szCs w:val="24"/>
                <w:vertAlign w:val="baseline"/>
                <w:lang w:eastAsia="zh-CN"/>
              </w:rPr>
              <w:t>矿渣微粉铁粒子、</w:t>
            </w:r>
            <w:r>
              <w:rPr>
                <w:rFonts w:hint="eastAsia" w:ascii="宋体" w:hAnsi="宋体" w:eastAsia="宋体" w:cs="宋体"/>
                <w:sz w:val="24"/>
                <w:szCs w:val="24"/>
                <w:vertAlign w:val="baseline"/>
              </w:rPr>
              <w:t>白灰筛下物倒运</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重型自卸车</w:t>
            </w:r>
          </w:p>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val="en-US" w:eastAsia="zh-CN"/>
              </w:rPr>
              <w:t>（4辆）</w:t>
            </w:r>
          </w:p>
        </w:tc>
        <w:tc>
          <w:tcPr>
            <w:tcW w:w="3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i w:val="0"/>
                <w:color w:val="auto"/>
                <w:sz w:val="24"/>
                <w:szCs w:val="24"/>
              </w:rPr>
            </w:pPr>
            <w:r>
              <w:rPr>
                <w:rFonts w:hint="eastAsia" w:ascii="宋体" w:hAnsi="宋体" w:cs="宋体"/>
                <w:b w:val="0"/>
                <w:bCs w:val="0"/>
                <w:i w:val="0"/>
                <w:color w:val="auto"/>
                <w:sz w:val="24"/>
                <w:szCs w:val="24"/>
                <w:lang w:eastAsia="zh-CN"/>
              </w:rPr>
              <w:t>结算</w:t>
            </w:r>
            <w:r>
              <w:rPr>
                <w:rFonts w:hint="eastAsia" w:ascii="宋体" w:hAnsi="宋体" w:eastAsia="宋体" w:cs="宋体"/>
                <w:b w:val="0"/>
                <w:bCs w:val="0"/>
                <w:i w:val="0"/>
                <w:color w:val="auto"/>
                <w:sz w:val="24"/>
                <w:szCs w:val="24"/>
              </w:rPr>
              <w:t>费用=</w:t>
            </w:r>
            <w:r>
              <w:rPr>
                <w:rFonts w:hint="eastAsia" w:ascii="宋体" w:hAnsi="宋体" w:cs="宋体"/>
                <w:b w:val="0"/>
                <w:bCs w:val="0"/>
                <w:i w:val="0"/>
                <w:color w:val="auto"/>
                <w:sz w:val="24"/>
                <w:szCs w:val="24"/>
                <w:lang w:eastAsia="zh-CN"/>
              </w:rPr>
              <w:t>铁水产量</w:t>
            </w:r>
            <w:r>
              <w:rPr>
                <w:rFonts w:hint="eastAsia" w:ascii="宋体" w:hAnsi="宋体" w:eastAsia="宋体" w:cs="宋体"/>
                <w:b w:val="0"/>
                <w:bCs w:val="0"/>
                <w:i w:val="0"/>
                <w:color w:val="auto"/>
                <w:sz w:val="24"/>
                <w:szCs w:val="24"/>
              </w:rPr>
              <w:t>*单价</w:t>
            </w:r>
          </w:p>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cs="宋体"/>
                <w:b w:val="0"/>
                <w:bCs w:val="0"/>
                <w:i w:val="0"/>
                <w:color w:val="auto"/>
                <w:sz w:val="24"/>
                <w:szCs w:val="24"/>
                <w:lang w:eastAsia="zh-CN"/>
              </w:rPr>
              <w:t>铁水产量约</w:t>
            </w:r>
            <w:r>
              <w:rPr>
                <w:rFonts w:hint="eastAsia" w:ascii="宋体" w:hAnsi="宋体" w:cs="宋体"/>
                <w:b w:val="0"/>
                <w:bCs w:val="0"/>
                <w:i w:val="0"/>
                <w:color w:val="auto"/>
                <w:sz w:val="24"/>
                <w:szCs w:val="24"/>
                <w:lang w:val="en-US" w:eastAsia="zh-CN"/>
              </w:rPr>
              <w:t>25万</w:t>
            </w:r>
            <w:r>
              <w:rPr>
                <w:rFonts w:hint="eastAsia" w:ascii="宋体" w:hAnsi="宋体" w:eastAsia="宋体" w:cs="宋体"/>
                <w:b w:val="0"/>
                <w:bCs w:val="0"/>
                <w:i w:val="0"/>
                <w:color w:val="auto"/>
                <w:sz w:val="24"/>
                <w:szCs w:val="24"/>
                <w:lang w:val="en-US" w:eastAsia="zh-CN"/>
              </w:rPr>
              <w:t>吨</w:t>
            </w:r>
            <w:r>
              <w:rPr>
                <w:rFonts w:hint="eastAsia" w:ascii="宋体" w:hAnsi="宋体" w:cs="宋体"/>
                <w:b w:val="0"/>
                <w:bCs w:val="0"/>
                <w:i w:val="0"/>
                <w:color w:val="auto"/>
                <w:sz w:val="24"/>
                <w:szCs w:val="24"/>
                <w:lang w:val="en-US" w:eastAsia="zh-CN"/>
              </w:rPr>
              <w:t>/月</w:t>
            </w:r>
          </w:p>
        </w:tc>
        <w:tc>
          <w:tcPr>
            <w:tcW w:w="75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eastAsia="宋体" w:cs="宋体"/>
                <w:b w:val="0"/>
                <w:bCs w:val="0"/>
                <w:color w:val="auto"/>
                <w:sz w:val="24"/>
                <w:szCs w:val="24"/>
                <w:vertAlign w:val="baseline"/>
                <w:lang w:eastAsia="zh-CN"/>
              </w:rPr>
              <w:t>元</w:t>
            </w:r>
            <w:r>
              <w:rPr>
                <w:rFonts w:hint="eastAsia" w:ascii="宋体" w:hAnsi="宋体" w:eastAsia="宋体" w:cs="宋体"/>
                <w:b w:val="0"/>
                <w:bCs w:val="0"/>
                <w:color w:val="auto"/>
                <w:sz w:val="24"/>
                <w:szCs w:val="24"/>
                <w:vertAlign w:val="baseline"/>
                <w:lang w:val="en-US" w:eastAsia="zh-CN"/>
              </w:rPr>
              <w:t>/吨</w:t>
            </w:r>
          </w:p>
        </w:tc>
        <w:tc>
          <w:tcPr>
            <w:tcW w:w="68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val="en-US" w:eastAsia="zh-CN"/>
              </w:rPr>
              <w:t>炼铁部返焦粉倒运</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eastAsia="zh-CN"/>
              </w:rPr>
            </w:pPr>
            <w:r>
              <w:rPr>
                <w:rFonts w:hint="eastAsia" w:ascii="宋体" w:hAnsi="宋体" w:cs="宋体"/>
                <w:b w:val="0"/>
                <w:bCs w:val="0"/>
                <w:color w:val="auto"/>
                <w:sz w:val="24"/>
                <w:szCs w:val="24"/>
                <w:vertAlign w:val="baseline"/>
                <w:lang w:eastAsia="zh-CN"/>
              </w:rPr>
              <w:t>重型自卸车</w:t>
            </w:r>
          </w:p>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eastAsia="zh-CN"/>
              </w:rPr>
              <w:t>（</w:t>
            </w:r>
            <w:r>
              <w:rPr>
                <w:rFonts w:hint="eastAsia" w:ascii="宋体" w:hAnsi="宋体" w:cs="宋体"/>
                <w:b w:val="0"/>
                <w:bCs w:val="0"/>
                <w:color w:val="auto"/>
                <w:sz w:val="24"/>
                <w:szCs w:val="24"/>
                <w:vertAlign w:val="baseline"/>
                <w:lang w:val="en-US" w:eastAsia="zh-CN"/>
              </w:rPr>
              <w:t>1辆</w:t>
            </w:r>
            <w:r>
              <w:rPr>
                <w:rFonts w:hint="eastAsia" w:ascii="宋体" w:hAnsi="宋体" w:cs="宋体"/>
                <w:b w:val="0"/>
                <w:bCs w:val="0"/>
                <w:color w:val="auto"/>
                <w:sz w:val="24"/>
                <w:szCs w:val="24"/>
                <w:vertAlign w:val="baseline"/>
                <w:lang w:eastAsia="zh-CN"/>
              </w:rPr>
              <w:t>）</w:t>
            </w:r>
          </w:p>
        </w:tc>
        <w:tc>
          <w:tcPr>
            <w:tcW w:w="3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i w:val="0"/>
                <w:color w:val="auto"/>
                <w:sz w:val="24"/>
                <w:szCs w:val="24"/>
              </w:rPr>
            </w:pPr>
            <w:r>
              <w:rPr>
                <w:rFonts w:hint="eastAsia" w:ascii="宋体" w:hAnsi="宋体" w:cs="宋体"/>
                <w:b w:val="0"/>
                <w:bCs w:val="0"/>
                <w:i w:val="0"/>
                <w:color w:val="auto"/>
                <w:sz w:val="24"/>
                <w:szCs w:val="24"/>
                <w:lang w:eastAsia="zh-CN"/>
              </w:rPr>
              <w:t>结算</w:t>
            </w:r>
            <w:r>
              <w:rPr>
                <w:rFonts w:hint="eastAsia" w:ascii="宋体" w:hAnsi="宋体" w:eastAsia="宋体" w:cs="宋体"/>
                <w:b w:val="0"/>
                <w:bCs w:val="0"/>
                <w:i w:val="0"/>
                <w:color w:val="auto"/>
                <w:sz w:val="24"/>
                <w:szCs w:val="24"/>
              </w:rPr>
              <w:t>费用=</w:t>
            </w:r>
            <w:r>
              <w:rPr>
                <w:rFonts w:hint="eastAsia" w:ascii="宋体" w:hAnsi="宋体" w:cs="宋体"/>
                <w:b w:val="0"/>
                <w:bCs w:val="0"/>
                <w:i w:val="0"/>
                <w:color w:val="auto"/>
                <w:sz w:val="24"/>
                <w:szCs w:val="24"/>
                <w:lang w:eastAsia="zh-CN"/>
              </w:rPr>
              <w:t>倒运吨位</w:t>
            </w:r>
            <w:r>
              <w:rPr>
                <w:rFonts w:hint="eastAsia" w:ascii="宋体" w:hAnsi="宋体" w:eastAsia="宋体" w:cs="宋体"/>
                <w:b w:val="0"/>
                <w:bCs w:val="0"/>
                <w:i w:val="0"/>
                <w:color w:val="auto"/>
                <w:sz w:val="24"/>
                <w:szCs w:val="24"/>
              </w:rPr>
              <w:t>*单价</w:t>
            </w:r>
          </w:p>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cs="宋体"/>
                <w:b w:val="0"/>
                <w:bCs w:val="0"/>
                <w:i w:val="0"/>
                <w:color w:val="auto"/>
                <w:sz w:val="24"/>
                <w:szCs w:val="24"/>
                <w:lang w:eastAsia="zh-CN"/>
              </w:rPr>
              <w:t>约</w:t>
            </w:r>
            <w:r>
              <w:rPr>
                <w:rFonts w:hint="eastAsia" w:ascii="宋体" w:hAnsi="宋体" w:cs="宋体"/>
                <w:b w:val="0"/>
                <w:bCs w:val="0"/>
                <w:i w:val="0"/>
                <w:color w:val="auto"/>
                <w:sz w:val="24"/>
                <w:szCs w:val="24"/>
                <w:lang w:val="en-US" w:eastAsia="zh-CN"/>
              </w:rPr>
              <w:t>1万吨/月</w:t>
            </w:r>
          </w:p>
        </w:tc>
        <w:tc>
          <w:tcPr>
            <w:tcW w:w="75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eastAsia="宋体" w:cs="宋体"/>
                <w:b w:val="0"/>
                <w:bCs w:val="0"/>
                <w:color w:val="auto"/>
                <w:sz w:val="24"/>
                <w:szCs w:val="24"/>
                <w:vertAlign w:val="baseline"/>
                <w:lang w:eastAsia="zh-CN"/>
              </w:rPr>
              <w:t>元</w:t>
            </w:r>
            <w:r>
              <w:rPr>
                <w:rFonts w:hint="eastAsia" w:ascii="宋体" w:hAnsi="宋体" w:eastAsia="宋体" w:cs="宋体"/>
                <w:b w:val="0"/>
                <w:bCs w:val="0"/>
                <w:color w:val="auto"/>
                <w:sz w:val="24"/>
                <w:szCs w:val="24"/>
                <w:vertAlign w:val="baseline"/>
                <w:lang w:val="en-US" w:eastAsia="zh-CN"/>
              </w:rPr>
              <w:t>/吨</w:t>
            </w:r>
          </w:p>
        </w:tc>
        <w:tc>
          <w:tcPr>
            <w:tcW w:w="68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602"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2790" w:type="dxa"/>
            <w:tcBorders>
              <w:top w:val="single" w:color="auto" w:sz="4" w:space="0"/>
              <w:left w:val="single" w:color="000000" w:sz="4" w:space="0"/>
              <w:bottom w:val="single" w:color="000000" w:sz="4" w:space="0"/>
              <w:right w:val="single" w:color="auto" w:sz="4" w:space="0"/>
            </w:tcBorders>
            <w:vAlign w:val="center"/>
          </w:tcPr>
          <w:p>
            <w:pPr>
              <w:spacing w:line="360" w:lineRule="auto"/>
              <w:ind w:firstLine="480" w:firstLineChars="200"/>
              <w:jc w:val="left"/>
              <w:rPr>
                <w:rFonts w:hint="default" w:ascii="宋体" w:hAnsi="宋体" w:eastAsia="宋体"/>
                <w:b w:val="0"/>
                <w:bCs w:val="0"/>
                <w:i w:val="0"/>
                <w:snapToGrid/>
                <w:color w:val="auto"/>
                <w:sz w:val="24"/>
                <w:szCs w:val="24"/>
                <w:u w:val="none"/>
                <w:lang w:eastAsia="zh-CN"/>
              </w:rPr>
            </w:pPr>
            <w:r>
              <w:rPr>
                <w:rFonts w:hint="eastAsia" w:ascii="宋体" w:hAnsi="宋体" w:cs="宋体"/>
                <w:sz w:val="24"/>
                <w:szCs w:val="24"/>
              </w:rPr>
              <w:t>焦化部焦丁、焦粉、焦炭、除尘灰倒运</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rPr>
            </w:pPr>
            <w:r>
              <w:rPr>
                <w:rFonts w:hint="eastAsia" w:ascii="宋体" w:hAnsi="宋体" w:cs="宋体"/>
                <w:sz w:val="24"/>
                <w:szCs w:val="24"/>
              </w:rPr>
              <w:t>重型自卸车</w:t>
            </w:r>
          </w:p>
          <w:p>
            <w:pPr>
              <w:spacing w:line="360" w:lineRule="auto"/>
              <w:jc w:val="center"/>
              <w:rPr>
                <w:rFonts w:hint="eastAsia" w:ascii="宋体" w:hAnsi="宋体" w:eastAsia="宋体"/>
                <w:b w:val="0"/>
                <w:bCs w:val="0"/>
                <w:i w:val="0"/>
                <w:snapToGrid/>
                <w:color w:val="auto"/>
                <w:sz w:val="24"/>
                <w:szCs w:val="24"/>
                <w:u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2辆</w:t>
            </w:r>
            <w:r>
              <w:rPr>
                <w:rFonts w:hint="eastAsia" w:ascii="宋体" w:hAnsi="宋体" w:cs="宋体"/>
                <w:sz w:val="24"/>
                <w:szCs w:val="24"/>
                <w:lang w:eastAsia="zh-CN"/>
              </w:rPr>
              <w:t>）</w:t>
            </w:r>
          </w:p>
        </w:tc>
        <w:tc>
          <w:tcPr>
            <w:tcW w:w="344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结算费用=倒运吨位*单价</w:t>
            </w:r>
          </w:p>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cs="宋体"/>
                <w:sz w:val="24"/>
                <w:szCs w:val="24"/>
              </w:rPr>
              <w:t>约1万吨/月</w:t>
            </w:r>
          </w:p>
        </w:tc>
        <w:tc>
          <w:tcPr>
            <w:tcW w:w="750" w:type="dxa"/>
            <w:tcBorders>
              <w:top w:val="single" w:color="auto" w:sz="4" w:space="0"/>
              <w:left w:val="single" w:color="000000" w:sz="4" w:space="0"/>
              <w:bottom w:val="single" w:color="000000" w:sz="4" w:space="0"/>
              <w:right w:val="single" w:color="000000" w:sz="4" w:space="0"/>
            </w:tcBorders>
            <w:vAlign w:val="bottom"/>
          </w:tcPr>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eastAsia="宋体" w:cs="宋体"/>
                <w:b w:val="0"/>
                <w:bCs w:val="0"/>
                <w:color w:val="auto"/>
                <w:sz w:val="24"/>
                <w:szCs w:val="24"/>
                <w:vertAlign w:val="baseline"/>
                <w:lang w:eastAsia="zh-CN"/>
              </w:rPr>
              <w:t>元</w:t>
            </w:r>
            <w:r>
              <w:rPr>
                <w:rFonts w:hint="eastAsia" w:ascii="宋体" w:hAnsi="宋体" w:eastAsia="宋体" w:cs="宋体"/>
                <w:b w:val="0"/>
                <w:bCs w:val="0"/>
                <w:color w:val="auto"/>
                <w:sz w:val="24"/>
                <w:szCs w:val="24"/>
                <w:vertAlign w:val="baseline"/>
                <w:lang w:val="en-US" w:eastAsia="zh-CN"/>
              </w:rPr>
              <w:t>/吨</w:t>
            </w:r>
          </w:p>
        </w:tc>
        <w:tc>
          <w:tcPr>
            <w:tcW w:w="686" w:type="dxa"/>
            <w:tcBorders>
              <w:top w:val="single" w:color="auto"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9056"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szCs w:val="24"/>
                <w:vertAlign w:val="baseline"/>
                <w:lang w:eastAsia="zh-CN"/>
              </w:rPr>
            </w:pPr>
            <w:r>
              <w:rPr>
                <w:rFonts w:hint="eastAsia" w:ascii="宋体" w:hAnsi="宋体" w:cs="宋体"/>
                <w:b w:val="0"/>
                <w:bCs w:val="0"/>
                <w:color w:val="auto"/>
                <w:sz w:val="24"/>
                <w:szCs w:val="24"/>
                <w:vertAlign w:val="baseline"/>
                <w:lang w:eastAsia="zh-CN"/>
              </w:rPr>
              <w:t>合</w:t>
            </w:r>
            <w:r>
              <w:rPr>
                <w:rFonts w:hint="eastAsia" w:ascii="宋体" w:hAnsi="宋体" w:cs="宋体"/>
                <w:b w:val="0"/>
                <w:bCs w:val="0"/>
                <w:color w:val="auto"/>
                <w:sz w:val="24"/>
                <w:szCs w:val="24"/>
                <w:vertAlign w:val="baseline"/>
                <w:lang w:val="en-US" w:eastAsia="zh-CN"/>
              </w:rPr>
              <w:t xml:space="preserve">   </w:t>
            </w:r>
            <w:r>
              <w:rPr>
                <w:rFonts w:hint="eastAsia" w:ascii="宋体" w:hAnsi="宋体" w:cs="宋体"/>
                <w:b w:val="0"/>
                <w:bCs w:val="0"/>
                <w:color w:val="auto"/>
                <w:sz w:val="24"/>
                <w:szCs w:val="24"/>
                <w:vertAlign w:val="baseline"/>
                <w:lang w:eastAsia="zh-CN"/>
              </w:rPr>
              <w:t>计</w:t>
            </w:r>
          </w:p>
        </w:tc>
        <w:tc>
          <w:tcPr>
            <w:tcW w:w="686"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b w:val="0"/>
                <w:bCs w:val="0"/>
                <w:i w:val="0"/>
                <w:snapToGrid/>
                <w:color w:val="auto"/>
                <w:sz w:val="24"/>
                <w:szCs w:val="24"/>
                <w:u w:val="none"/>
                <w:lang w:eastAsia="zh-CN"/>
              </w:rPr>
            </w:pPr>
          </w:p>
        </w:tc>
      </w:tr>
    </w:tbl>
    <w:p>
      <w:pPr>
        <w:widowControl w:val="0"/>
        <w:numPr>
          <w:ilvl w:val="0"/>
          <w:numId w:val="0"/>
        </w:numPr>
        <w:spacing w:line="360" w:lineRule="auto"/>
        <w:jc w:val="both"/>
        <w:rPr>
          <w:rFonts w:hint="eastAsia" w:ascii="宋体" w:hAnsi="宋体" w:cs="宋体"/>
          <w:color w:val="auto"/>
          <w:kern w:val="2"/>
          <w:sz w:val="24"/>
          <w:szCs w:val="22"/>
          <w:lang w:val="en-US" w:eastAsia="zh-CN"/>
        </w:rPr>
      </w:pPr>
    </w:p>
    <w:p>
      <w:pPr>
        <w:numPr>
          <w:ilvl w:val="0"/>
          <w:numId w:val="0"/>
        </w:numPr>
        <w:spacing w:line="360" w:lineRule="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备注：</w:t>
      </w:r>
    </w:p>
    <w:p>
      <w:pPr>
        <w:numPr>
          <w:ilvl w:val="0"/>
          <w:numId w:val="12"/>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cs="宋体"/>
          <w:color w:val="auto"/>
          <w:sz w:val="24"/>
          <w:szCs w:val="24"/>
          <w:lang w:val="en-US" w:eastAsia="zh-CN"/>
        </w:rPr>
        <w:t>铁水产量</w:t>
      </w:r>
      <w:r>
        <w:rPr>
          <w:rFonts w:hint="eastAsia" w:ascii="宋体" w:hAnsi="宋体" w:eastAsia="宋体" w:cs="宋体"/>
          <w:color w:val="auto"/>
          <w:sz w:val="24"/>
          <w:szCs w:val="24"/>
          <w:lang w:val="en-US" w:eastAsia="zh-CN"/>
        </w:rPr>
        <w:t>依据</w:t>
      </w:r>
      <w:r>
        <w:rPr>
          <w:rFonts w:hint="eastAsia" w:ascii="宋体" w:hAnsi="宋体" w:cs="宋体"/>
          <w:color w:val="auto"/>
          <w:sz w:val="24"/>
          <w:szCs w:val="24"/>
          <w:lang w:val="en-US" w:eastAsia="zh-CN"/>
        </w:rPr>
        <w:t>芜湖新兴</w:t>
      </w:r>
      <w:r>
        <w:rPr>
          <w:rFonts w:hint="eastAsia" w:ascii="宋体" w:hAnsi="宋体" w:eastAsia="宋体" w:cs="宋体"/>
          <w:color w:val="auto"/>
          <w:sz w:val="24"/>
          <w:szCs w:val="24"/>
          <w:lang w:val="en-US" w:eastAsia="zh-CN"/>
        </w:rPr>
        <w:t>报表</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倒运吨位依据</w:t>
      </w:r>
      <w:r>
        <w:rPr>
          <w:rFonts w:hint="eastAsia" w:ascii="宋体" w:hAnsi="宋体" w:cs="宋体"/>
          <w:color w:val="auto"/>
          <w:sz w:val="24"/>
          <w:szCs w:val="24"/>
          <w:lang w:val="en-US" w:eastAsia="zh-CN"/>
        </w:rPr>
        <w:t>芜湖新兴</w:t>
      </w:r>
      <w:r>
        <w:rPr>
          <w:rFonts w:hint="eastAsia" w:ascii="宋体" w:hAnsi="宋体" w:eastAsia="宋体" w:cs="宋体"/>
          <w:color w:val="auto"/>
          <w:sz w:val="24"/>
          <w:szCs w:val="24"/>
          <w:lang w:val="en-US" w:eastAsia="zh-CN"/>
        </w:rPr>
        <w:t>计量日报过磅数据。</w:t>
      </w:r>
    </w:p>
    <w:p>
      <w:pPr>
        <w:numPr>
          <w:ilvl w:val="0"/>
          <w:numId w:val="0"/>
        </w:num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2、报价表中铁水产量、倒运吨位为参考量，结算费用以实际发生量为准。</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4</w:t>
      </w:r>
      <w:r>
        <w:rPr>
          <w:rFonts w:ascii="宋体" w:hAnsi="宋体"/>
          <w:color w:val="auto"/>
          <w:sz w:val="24"/>
          <w:szCs w:val="24"/>
        </w:rPr>
        <w:t>月</w:t>
      </w:r>
      <w:r>
        <w:rPr>
          <w:rFonts w:hint="eastAsia" w:ascii="宋体" w:hAnsi="宋体"/>
          <w:color w:val="auto"/>
          <w:sz w:val="24"/>
          <w:szCs w:val="24"/>
          <w:lang w:val="en-US" w:eastAsia="zh-CN"/>
        </w:rPr>
        <w:t>19</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3"/>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3"/>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3"/>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3"/>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3"/>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0D34207"/>
    <w:multiLevelType w:val="singleLevel"/>
    <w:tmpl w:val="40D34207"/>
    <w:lvl w:ilvl="0" w:tentative="0">
      <w:start w:val="1"/>
      <w:numFmt w:val="decimal"/>
      <w:suff w:val="nothing"/>
      <w:lvlText w:val="%1、"/>
      <w:lvlJc w:val="left"/>
    </w:lvl>
  </w:abstractNum>
  <w:abstractNum w:abstractNumId="9">
    <w:nsid w:val="48E7AE87"/>
    <w:multiLevelType w:val="singleLevel"/>
    <w:tmpl w:val="48E7AE87"/>
    <w:lvl w:ilvl="0" w:tentative="0">
      <w:start w:val="1"/>
      <w:numFmt w:val="decimal"/>
      <w:lvlText w:val="%1."/>
      <w:lvlJc w:val="left"/>
      <w:pPr>
        <w:ind w:left="425" w:hanging="425"/>
      </w:pPr>
      <w:rPr>
        <w:rFonts w:hint="default"/>
      </w:rPr>
    </w:lvl>
  </w:abstractNum>
  <w:abstractNum w:abstractNumId="10">
    <w:nsid w:val="4DC704EB"/>
    <w:multiLevelType w:val="singleLevel"/>
    <w:tmpl w:val="4DC704EB"/>
    <w:lvl w:ilvl="0" w:tentative="0">
      <w:start w:val="1"/>
      <w:numFmt w:val="decimal"/>
      <w:suff w:val="nothing"/>
      <w:lvlText w:val="%1、"/>
      <w:lvlJc w:val="left"/>
    </w:lvl>
  </w:abstractNum>
  <w:abstractNum w:abstractNumId="11">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2">
    <w:nsid w:val="6CA26F41"/>
    <w:multiLevelType w:val="singleLevel"/>
    <w:tmpl w:val="6CA26F41"/>
    <w:lvl w:ilvl="0" w:tentative="0">
      <w:start w:val="1"/>
      <w:numFmt w:val="decimal"/>
      <w:suff w:val="nothing"/>
      <w:lvlText w:val="%1、"/>
      <w:lvlJc w:val="left"/>
    </w:lvl>
  </w:abstractNum>
  <w:num w:numId="1">
    <w:abstractNumId w:val="8"/>
  </w:num>
  <w:num w:numId="2">
    <w:abstractNumId w:val="10"/>
  </w:num>
  <w:num w:numId="3">
    <w:abstractNumId w:val="4"/>
    <w:lvlOverride w:ilvl="0">
      <w:startOverride w:val="1"/>
    </w:lvlOverride>
  </w:num>
  <w:num w:numId="4">
    <w:abstractNumId w:val="7"/>
    <w:lvlOverride w:ilvl="0">
      <w:startOverride w:val="1"/>
    </w:lvlOverride>
  </w:num>
  <w:num w:numId="5">
    <w:abstractNumId w:val="6"/>
    <w:lvlOverride w:ilvl="0">
      <w:startOverride w:val="1"/>
    </w:lvlOverride>
  </w:num>
  <w:num w:numId="6">
    <w:abstractNumId w:val="5"/>
  </w:num>
  <w:num w:numId="7">
    <w:abstractNumId w:val="2"/>
  </w:num>
  <w:num w:numId="8">
    <w:abstractNumId w:val="1"/>
  </w:num>
  <w:num w:numId="9">
    <w:abstractNumId w:val="11"/>
  </w:num>
  <w:num w:numId="10">
    <w:abstractNumId w:val="0"/>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C333A20"/>
    <w:rsid w:val="10772EB5"/>
    <w:rsid w:val="11DE5603"/>
    <w:rsid w:val="13BA318B"/>
    <w:rsid w:val="152B2857"/>
    <w:rsid w:val="16AA6B17"/>
    <w:rsid w:val="1C1D6140"/>
    <w:rsid w:val="1C28711D"/>
    <w:rsid w:val="1F415A0F"/>
    <w:rsid w:val="1FC61767"/>
    <w:rsid w:val="234F5E22"/>
    <w:rsid w:val="23F27268"/>
    <w:rsid w:val="252D19D6"/>
    <w:rsid w:val="25A87FB8"/>
    <w:rsid w:val="25F13BFC"/>
    <w:rsid w:val="2D230D73"/>
    <w:rsid w:val="2DFD089F"/>
    <w:rsid w:val="2E34761D"/>
    <w:rsid w:val="30033579"/>
    <w:rsid w:val="323F2693"/>
    <w:rsid w:val="34FF5DC8"/>
    <w:rsid w:val="390D4485"/>
    <w:rsid w:val="3A4B4F63"/>
    <w:rsid w:val="3C09736A"/>
    <w:rsid w:val="3F114200"/>
    <w:rsid w:val="41417945"/>
    <w:rsid w:val="41DB42F4"/>
    <w:rsid w:val="454E4D64"/>
    <w:rsid w:val="46F31726"/>
    <w:rsid w:val="4C62699D"/>
    <w:rsid w:val="513C3EF8"/>
    <w:rsid w:val="53D27EE3"/>
    <w:rsid w:val="556B3A6A"/>
    <w:rsid w:val="584B20E6"/>
    <w:rsid w:val="589B3C10"/>
    <w:rsid w:val="5B2D6E0C"/>
    <w:rsid w:val="5DA113C7"/>
    <w:rsid w:val="5DA500D7"/>
    <w:rsid w:val="603E0EA5"/>
    <w:rsid w:val="607D1710"/>
    <w:rsid w:val="62CA5CF7"/>
    <w:rsid w:val="6D663618"/>
    <w:rsid w:val="71CE0F14"/>
    <w:rsid w:val="737502D4"/>
    <w:rsid w:val="74965A4A"/>
    <w:rsid w:val="76892D68"/>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2021-04-19T02:11:43Z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