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b/>
          <w:sz w:val="36"/>
          <w:szCs w:val="36"/>
        </w:rPr>
      </w:pPr>
      <w:r>
        <w:rPr>
          <w:rFonts w:hint="eastAsia"/>
          <w:b/>
          <w:sz w:val="36"/>
          <w:szCs w:val="36"/>
        </w:rPr>
        <w:t>工程造价咨询</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2022年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rPr>
        <w:t>5月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WHXX2022</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rPr>
        <w:t>01GCJSZJSH</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rPr>
        <w:t>工程造价咨询</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投标人营业执照经营范围须含有工程造价咨询</w:t>
      </w:r>
      <w:r>
        <w:rPr>
          <w:rFonts w:hint="eastAsia" w:hAnsi="宋体"/>
          <w:sz w:val="24"/>
          <w:szCs w:val="24"/>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2022</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rPr>
        <w:t>5</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rPr>
        <w:t>2</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rPr>
        <w:t>6</w:t>
      </w:r>
      <w:r>
        <w:rPr>
          <w:rFonts w:hint="eastAsia" w:ascii="宋体" w:hAnsi="宋体"/>
          <w:bCs/>
          <w:sz w:val="24"/>
          <w:szCs w:val="24"/>
        </w:rPr>
        <w:t>月</w:t>
      </w:r>
      <w:r>
        <w:rPr>
          <w:rFonts w:hint="eastAsia"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lang w:val="en-US" w:eastAsia="zh-CN"/>
        </w:rPr>
        <w:t>301</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eastAsia="宋体"/>
          <w:color w:val="FF0000"/>
          <w:sz w:val="24"/>
          <w:szCs w:val="24"/>
        </w:rPr>
        <w:t>工程造价咨询</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财务管理部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薛  梅        13155321572</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2022</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rPr>
        <w:t>7：</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单位地址：芜湖市弋江区春洲路2号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jc w:val="center"/>
        <w:rPr>
          <w:sz w:val="28"/>
          <w:szCs w:val="28"/>
        </w:rPr>
      </w:pPr>
      <w:r>
        <w:rPr>
          <w:rFonts w:hint="eastAsia"/>
          <w:sz w:val="28"/>
          <w:szCs w:val="28"/>
        </w:rPr>
        <w:t>投标人须知</w:t>
      </w:r>
    </w:p>
    <w:p>
      <w:pPr>
        <w:pStyle w:val="2"/>
      </w:pPr>
    </w:p>
    <w:p>
      <w:pPr>
        <w:numPr>
          <w:ilvl w:val="0"/>
          <w:numId w:val="2"/>
        </w:numPr>
        <w:tabs>
          <w:tab w:val="left" w:pos="426"/>
        </w:tabs>
        <w:snapToGrid w:val="0"/>
        <w:spacing w:line="360" w:lineRule="auto"/>
        <w:rPr>
          <w:sz w:val="28"/>
          <w:szCs w:val="28"/>
        </w:rPr>
      </w:pPr>
      <w:r>
        <w:rPr>
          <w:rFonts w:hint="eastAsia"/>
          <w:color w:val="000000"/>
        </w:rPr>
        <w:t xml:space="preserve"> </w:t>
      </w:r>
      <w:r>
        <w:rPr>
          <w:rFonts w:hint="eastAsia"/>
          <w:color w:val="000000"/>
          <w:sz w:val="24"/>
          <w:szCs w:val="24"/>
        </w:rPr>
        <w:t>本次招标由芜湖新兴铸管有限责任公司招标确定工程造价咨询机构，为芜湖新兴铸管有限责任公司</w:t>
      </w:r>
      <w:r>
        <w:rPr>
          <w:rFonts w:hint="eastAsia"/>
          <w:sz w:val="24"/>
          <w:szCs w:val="24"/>
        </w:rPr>
        <w:t>及</w:t>
      </w:r>
      <w:r>
        <w:rPr>
          <w:rFonts w:hint="eastAsia" w:cs="宋体"/>
          <w:sz w:val="24"/>
          <w:szCs w:val="24"/>
        </w:rPr>
        <w:t>芜湖新兴新材料产业园有限公司提供工程造价咨询服务</w:t>
      </w:r>
      <w:r>
        <w:rPr>
          <w:rFonts w:hint="eastAsia"/>
          <w:color w:val="000000"/>
          <w:sz w:val="24"/>
          <w:szCs w:val="24"/>
        </w:rPr>
        <w:t>，相关工程造价咨询费由芜湖新兴铸管有限责任公司</w:t>
      </w:r>
      <w:r>
        <w:rPr>
          <w:rFonts w:hint="eastAsia"/>
          <w:sz w:val="24"/>
          <w:szCs w:val="24"/>
        </w:rPr>
        <w:t>及</w:t>
      </w:r>
      <w:r>
        <w:rPr>
          <w:rFonts w:hint="eastAsia" w:cs="宋体"/>
          <w:sz w:val="24"/>
          <w:szCs w:val="24"/>
        </w:rPr>
        <w:t>芜湖新兴新材料产业园有限公司各自</w:t>
      </w:r>
      <w:r>
        <w:rPr>
          <w:rFonts w:hint="eastAsia"/>
          <w:sz w:val="24"/>
          <w:szCs w:val="24"/>
        </w:rPr>
        <w:t>承担。</w:t>
      </w:r>
    </w:p>
    <w:p>
      <w:pPr>
        <w:numPr>
          <w:ilvl w:val="0"/>
          <w:numId w:val="2"/>
        </w:numPr>
        <w:snapToGrid w:val="0"/>
        <w:spacing w:line="360" w:lineRule="auto"/>
        <w:rPr>
          <w:color w:val="FF0000"/>
          <w:sz w:val="24"/>
          <w:szCs w:val="24"/>
        </w:rPr>
      </w:pPr>
      <w:r>
        <w:rPr>
          <w:rFonts w:hint="eastAsia"/>
          <w:color w:val="000000"/>
          <w:sz w:val="24"/>
          <w:szCs w:val="24"/>
        </w:rPr>
        <w:t>投标文件的组成：投标书、</w:t>
      </w:r>
      <w:r>
        <w:rPr>
          <w:rFonts w:hint="eastAsia"/>
          <w:sz w:val="24"/>
          <w:szCs w:val="24"/>
        </w:rPr>
        <w:t>投标报价单</w:t>
      </w:r>
      <w:r>
        <w:rPr>
          <w:rFonts w:hint="eastAsia"/>
          <w:color w:val="000000"/>
          <w:sz w:val="24"/>
          <w:szCs w:val="24"/>
        </w:rPr>
        <w:t>、企业简介、</w:t>
      </w:r>
      <w:r>
        <w:rPr>
          <w:rFonts w:hint="eastAsia"/>
          <w:sz w:val="24"/>
          <w:szCs w:val="24"/>
        </w:rPr>
        <w:t>投标保证书</w:t>
      </w:r>
      <w:r>
        <w:rPr>
          <w:rFonts w:hint="eastAsia"/>
          <w:color w:val="000000"/>
          <w:sz w:val="24"/>
          <w:szCs w:val="24"/>
        </w:rPr>
        <w:t>、营业执照、税务登记证、公司授权书、代理人身份证、业绩等复印件。</w:t>
      </w:r>
    </w:p>
    <w:p>
      <w:pPr>
        <w:numPr>
          <w:ilvl w:val="0"/>
          <w:numId w:val="2"/>
        </w:numPr>
        <w:spacing w:line="420" w:lineRule="exact"/>
        <w:rPr>
          <w:color w:val="000000"/>
          <w:sz w:val="24"/>
          <w:szCs w:val="24"/>
        </w:rPr>
      </w:pPr>
      <w:r>
        <w:rPr>
          <w:rFonts w:hint="eastAsia"/>
          <w:color w:val="000000"/>
          <w:sz w:val="24"/>
          <w:szCs w:val="24"/>
        </w:rPr>
        <w:t>本次招标收取投标保证金</w:t>
      </w:r>
      <w:r>
        <w:rPr>
          <w:rFonts w:hint="eastAsia"/>
          <w:color w:val="FF0000"/>
          <w:sz w:val="24"/>
          <w:szCs w:val="24"/>
        </w:rPr>
        <w:t>贰</w:t>
      </w:r>
      <w:r>
        <w:rPr>
          <w:color w:val="FF0000"/>
          <w:sz w:val="24"/>
          <w:szCs w:val="24"/>
        </w:rPr>
        <w:fldChar w:fldCharType="begin"/>
      </w:r>
      <w:r>
        <w:rPr>
          <w:color w:val="FF0000"/>
          <w:sz w:val="24"/>
          <w:szCs w:val="24"/>
        </w:rPr>
        <w:instrText xml:space="preserve"> </w:instrText>
      </w:r>
      <w:r>
        <w:rPr>
          <w:rFonts w:hint="eastAsia"/>
          <w:color w:val="FF0000"/>
          <w:sz w:val="24"/>
          <w:szCs w:val="24"/>
        </w:rPr>
        <w:instrText xml:space="preserve">= 100000 \* CHINESENUM2</w:instrText>
      </w:r>
      <w:r>
        <w:rPr>
          <w:color w:val="FF0000"/>
          <w:sz w:val="24"/>
          <w:szCs w:val="24"/>
        </w:rPr>
        <w:instrText xml:space="preserve"> </w:instrText>
      </w:r>
      <w:r>
        <w:rPr>
          <w:color w:val="FF0000"/>
          <w:sz w:val="24"/>
          <w:szCs w:val="24"/>
        </w:rPr>
        <w:fldChar w:fldCharType="separate"/>
      </w:r>
      <w:r>
        <w:rPr>
          <w:rFonts w:hint="eastAsia"/>
          <w:color w:val="FF0000"/>
          <w:sz w:val="24"/>
          <w:szCs w:val="24"/>
        </w:rPr>
        <w:t>万</w:t>
      </w:r>
      <w:r>
        <w:rPr>
          <w:color w:val="FF0000"/>
          <w:sz w:val="24"/>
          <w:szCs w:val="24"/>
        </w:rPr>
        <w:fldChar w:fldCharType="end"/>
      </w:r>
      <w:r>
        <w:rPr>
          <w:rFonts w:hint="eastAsia"/>
          <w:color w:val="FF0000"/>
          <w:sz w:val="24"/>
          <w:szCs w:val="24"/>
        </w:rPr>
        <w:t>圆整</w:t>
      </w:r>
      <w:r>
        <w:rPr>
          <w:rFonts w:hint="eastAsia"/>
          <w:color w:val="000000"/>
          <w:sz w:val="24"/>
          <w:szCs w:val="24"/>
        </w:rPr>
        <w:t>（电汇，</w:t>
      </w:r>
      <w:r>
        <w:rPr>
          <w:rFonts w:hint="eastAsia"/>
          <w:color w:val="FF0000"/>
          <w:sz w:val="24"/>
          <w:szCs w:val="24"/>
        </w:rPr>
        <w:t>必须</w:t>
      </w:r>
      <w:r>
        <w:rPr>
          <w:rFonts w:hint="eastAsia"/>
          <w:color w:val="000000"/>
          <w:sz w:val="24"/>
          <w:szCs w:val="24"/>
        </w:rPr>
        <w:t>基本账户汇款），保证金</w:t>
      </w:r>
      <w:r>
        <w:rPr>
          <w:color w:val="000000"/>
          <w:sz w:val="24"/>
          <w:szCs w:val="24"/>
        </w:rPr>
        <w:t>汇款截止时间：</w:t>
      </w:r>
      <w:r>
        <w:rPr>
          <w:rFonts w:hint="eastAsia"/>
          <w:color w:val="FF0000"/>
          <w:sz w:val="24"/>
          <w:szCs w:val="24"/>
        </w:rPr>
        <w:t>2022</w:t>
      </w:r>
      <w:r>
        <w:rPr>
          <w:rFonts w:hint="eastAsia"/>
          <w:color w:val="auto"/>
          <w:sz w:val="24"/>
          <w:szCs w:val="24"/>
        </w:rPr>
        <w:t>年</w:t>
      </w:r>
      <w:r>
        <w:rPr>
          <w:rFonts w:hint="eastAsia"/>
          <w:color w:val="FF0000"/>
          <w:sz w:val="24"/>
          <w:szCs w:val="24"/>
        </w:rPr>
        <w:t>06</w:t>
      </w:r>
      <w:r>
        <w:rPr>
          <w:rFonts w:hint="eastAsia"/>
          <w:color w:val="auto"/>
          <w:sz w:val="24"/>
          <w:szCs w:val="24"/>
        </w:rPr>
        <w:t>月</w:t>
      </w:r>
      <w:r>
        <w:rPr>
          <w:rFonts w:hint="eastAsia"/>
          <w:color w:val="FF0000"/>
          <w:sz w:val="24"/>
          <w:szCs w:val="24"/>
          <w:lang w:val="en-US" w:eastAsia="zh-CN"/>
        </w:rPr>
        <w:t>19</w:t>
      </w:r>
      <w:r>
        <w:rPr>
          <w:rFonts w:hint="eastAsia"/>
          <w:color w:val="auto"/>
          <w:sz w:val="24"/>
          <w:szCs w:val="24"/>
        </w:rPr>
        <w:t>日</w:t>
      </w:r>
      <w:r>
        <w:rPr>
          <w:rFonts w:hint="eastAsia"/>
          <w:color w:val="FF0000"/>
          <w:sz w:val="24"/>
          <w:szCs w:val="24"/>
          <w:lang w:val="en-US" w:eastAsia="zh-CN"/>
        </w:rPr>
        <w:t>17：00</w:t>
      </w:r>
      <w:r>
        <w:rPr>
          <w:rFonts w:hint="eastAsia"/>
          <w:color w:val="000000"/>
          <w:sz w:val="24"/>
          <w:szCs w:val="24"/>
        </w:rPr>
        <w:t>，投标者须在开标前缴纳此费用并办理相关手续。中标单位确定后，发包人将会无息退还此费用(60日内)</w:t>
      </w:r>
    </w:p>
    <w:p>
      <w:pPr>
        <w:spacing w:line="420" w:lineRule="exact"/>
        <w:ind w:left="1004" w:firstLine="120" w:firstLineChars="50"/>
        <w:rPr>
          <w:color w:val="000000"/>
          <w:sz w:val="24"/>
          <w:szCs w:val="24"/>
        </w:rPr>
      </w:pPr>
      <w:r>
        <w:rPr>
          <w:rFonts w:hint="eastAsia"/>
          <w:color w:val="000000"/>
          <w:sz w:val="24"/>
          <w:szCs w:val="24"/>
        </w:rPr>
        <w:t>单位名称：芜湖新兴铸管有限责任公司</w:t>
      </w:r>
      <w:r>
        <w:rPr>
          <w:color w:val="000000"/>
          <w:sz w:val="24"/>
          <w:szCs w:val="24"/>
        </w:rPr>
        <w:t xml:space="preserve">         </w:t>
      </w:r>
    </w:p>
    <w:p>
      <w:pPr>
        <w:ind w:left="1004" w:firstLine="120" w:firstLineChars="50"/>
        <w:rPr>
          <w:color w:val="000000"/>
          <w:sz w:val="24"/>
          <w:szCs w:val="24"/>
        </w:rPr>
      </w:pPr>
      <w:r>
        <w:rPr>
          <w:rFonts w:hint="eastAsia"/>
          <w:color w:val="000000"/>
          <w:sz w:val="24"/>
          <w:szCs w:val="24"/>
        </w:rPr>
        <w:t>单位地址：</w:t>
      </w:r>
      <w:r>
        <w:rPr>
          <w:color w:val="000000"/>
          <w:sz w:val="24"/>
          <w:szCs w:val="24"/>
        </w:rPr>
        <w:t>芜湖市三山区经济开发区春洲路2号</w:t>
      </w:r>
    </w:p>
    <w:p>
      <w:pPr>
        <w:ind w:left="1004" w:firstLine="120" w:firstLineChars="50"/>
        <w:rPr>
          <w:color w:val="000000"/>
          <w:sz w:val="24"/>
          <w:szCs w:val="24"/>
        </w:rPr>
      </w:pPr>
      <w:r>
        <w:rPr>
          <w:rFonts w:hint="eastAsia"/>
          <w:color w:val="000000"/>
          <w:sz w:val="24"/>
          <w:szCs w:val="24"/>
        </w:rPr>
        <w:t>开</w:t>
      </w:r>
      <w:r>
        <w:rPr>
          <w:color w:val="000000"/>
          <w:sz w:val="24"/>
          <w:szCs w:val="24"/>
        </w:rPr>
        <w:t xml:space="preserve"> </w:t>
      </w:r>
      <w:r>
        <w:rPr>
          <w:rFonts w:hint="eastAsia"/>
          <w:color w:val="000000"/>
          <w:sz w:val="24"/>
          <w:szCs w:val="24"/>
        </w:rPr>
        <w:t>户</w:t>
      </w:r>
      <w:r>
        <w:rPr>
          <w:color w:val="000000"/>
          <w:sz w:val="24"/>
          <w:szCs w:val="24"/>
        </w:rPr>
        <w:t xml:space="preserve"> </w:t>
      </w:r>
      <w:r>
        <w:rPr>
          <w:rFonts w:hint="eastAsia"/>
          <w:color w:val="000000"/>
          <w:sz w:val="24"/>
          <w:szCs w:val="24"/>
        </w:rPr>
        <w:t>行：工商银行芜湖分行环城路支行</w:t>
      </w:r>
    </w:p>
    <w:p>
      <w:pPr>
        <w:spacing w:line="300" w:lineRule="auto"/>
        <w:ind w:left="1004" w:firstLine="120" w:firstLineChars="50"/>
        <w:rPr>
          <w:color w:val="000000"/>
          <w:sz w:val="24"/>
          <w:szCs w:val="24"/>
        </w:rPr>
      </w:pPr>
      <w:r>
        <w:rPr>
          <w:rFonts w:hint="eastAsia"/>
          <w:color w:val="000000"/>
          <w:sz w:val="24"/>
          <w:szCs w:val="24"/>
        </w:rPr>
        <w:t>帐</w:t>
      </w:r>
      <w:r>
        <w:rPr>
          <w:color w:val="000000"/>
          <w:sz w:val="24"/>
          <w:szCs w:val="24"/>
        </w:rPr>
        <w:t xml:space="preserve">    </w:t>
      </w:r>
      <w:r>
        <w:rPr>
          <w:rFonts w:hint="eastAsia"/>
          <w:color w:val="000000"/>
          <w:sz w:val="24"/>
          <w:szCs w:val="24"/>
        </w:rPr>
        <w:t>号：1307023219000109264</w:t>
      </w:r>
    </w:p>
    <w:p>
      <w:pPr>
        <w:numPr>
          <w:ilvl w:val="0"/>
          <w:numId w:val="2"/>
        </w:numPr>
        <w:spacing w:line="420" w:lineRule="exact"/>
        <w:rPr>
          <w:color w:val="FF0000"/>
          <w:sz w:val="24"/>
          <w:szCs w:val="24"/>
        </w:rPr>
      </w:pPr>
      <w:r>
        <w:rPr>
          <w:rFonts w:hint="eastAsia"/>
          <w:sz w:val="24"/>
          <w:szCs w:val="24"/>
        </w:rPr>
        <w:t>招标文件的澄清：任何要对招标文件提出澄清的投标人，应在投标截止日期前两天，按招标公告载明的地址以书面形式（信函</w:t>
      </w:r>
      <w:r>
        <w:rPr>
          <w:rFonts w:hint="eastAsia"/>
          <w:color w:val="000000"/>
          <w:sz w:val="24"/>
          <w:szCs w:val="24"/>
        </w:rPr>
        <w:t>、传真）询问招标人。招标人收到任何的澄清要求将予以答复。</w:t>
      </w:r>
    </w:p>
    <w:p>
      <w:pPr>
        <w:numPr>
          <w:ilvl w:val="0"/>
          <w:numId w:val="2"/>
        </w:numPr>
        <w:tabs>
          <w:tab w:val="left" w:pos="426"/>
        </w:tabs>
        <w:snapToGrid w:val="0"/>
        <w:spacing w:line="360" w:lineRule="auto"/>
        <w:rPr>
          <w:color w:val="000000"/>
          <w:sz w:val="24"/>
          <w:szCs w:val="24"/>
        </w:rPr>
      </w:pPr>
      <w:r>
        <w:rPr>
          <w:rFonts w:hint="eastAsia"/>
          <w:sz w:val="24"/>
          <w:szCs w:val="24"/>
        </w:rPr>
        <w:t>投标截止时间和地点：投标书须在</w:t>
      </w:r>
      <w:r>
        <w:rPr>
          <w:rFonts w:hint="eastAsia"/>
          <w:color w:val="FF0000"/>
          <w:sz w:val="24"/>
          <w:szCs w:val="24"/>
        </w:rPr>
        <w:t>2022</w:t>
      </w:r>
      <w:r>
        <w:rPr>
          <w:rFonts w:hint="eastAsia"/>
          <w:color w:val="auto"/>
          <w:sz w:val="24"/>
          <w:szCs w:val="24"/>
        </w:rPr>
        <w:t>年</w:t>
      </w:r>
      <w:r>
        <w:rPr>
          <w:rFonts w:hint="eastAsia"/>
          <w:color w:val="FF0000"/>
          <w:sz w:val="24"/>
          <w:szCs w:val="24"/>
        </w:rPr>
        <w:t>06</w:t>
      </w:r>
      <w:r>
        <w:rPr>
          <w:rFonts w:hint="eastAsia"/>
          <w:color w:val="auto"/>
          <w:sz w:val="24"/>
          <w:szCs w:val="24"/>
        </w:rPr>
        <w:t>月</w:t>
      </w:r>
      <w:r>
        <w:rPr>
          <w:rFonts w:hint="eastAsia"/>
          <w:color w:val="FF0000"/>
          <w:sz w:val="24"/>
          <w:szCs w:val="24"/>
          <w:lang w:val="en-US" w:eastAsia="zh-CN"/>
        </w:rPr>
        <w:t>21</w:t>
      </w:r>
      <w:r>
        <w:rPr>
          <w:rFonts w:hint="eastAsia"/>
          <w:color w:val="auto"/>
          <w:sz w:val="24"/>
          <w:szCs w:val="24"/>
        </w:rPr>
        <w:t>日</w:t>
      </w:r>
      <w:r>
        <w:rPr>
          <w:rFonts w:hint="eastAsia"/>
          <w:color w:val="FF0000"/>
          <w:sz w:val="24"/>
          <w:szCs w:val="24"/>
          <w:lang w:val="en-US" w:eastAsia="zh-CN"/>
        </w:rPr>
        <w:t>09：30</w:t>
      </w:r>
      <w:r>
        <w:rPr>
          <w:rFonts w:hint="eastAsia"/>
          <w:color w:val="000000"/>
          <w:sz w:val="24"/>
          <w:szCs w:val="24"/>
        </w:rPr>
        <w:t>前送达发包人三山工业区公司副办公楼招标办。</w:t>
      </w:r>
    </w:p>
    <w:p>
      <w:pPr>
        <w:numPr>
          <w:ilvl w:val="0"/>
          <w:numId w:val="2"/>
        </w:numPr>
        <w:tabs>
          <w:tab w:val="left" w:pos="426"/>
        </w:tabs>
        <w:snapToGrid w:val="0"/>
        <w:spacing w:line="360" w:lineRule="auto"/>
        <w:rPr>
          <w:color w:val="000000"/>
          <w:sz w:val="24"/>
          <w:szCs w:val="24"/>
        </w:rPr>
      </w:pPr>
      <w:r>
        <w:rPr>
          <w:rFonts w:hint="eastAsia"/>
          <w:color w:val="000000"/>
          <w:sz w:val="24"/>
          <w:szCs w:val="24"/>
        </w:rPr>
        <w:t>招标人将在招标公告规定的时间内组织评标，并及时将中标结果告知各单位，后期向中标单位发放中标通知书。</w:t>
      </w:r>
    </w:p>
    <w:p>
      <w:pPr>
        <w:numPr>
          <w:ilvl w:val="0"/>
          <w:numId w:val="2"/>
        </w:numPr>
        <w:tabs>
          <w:tab w:val="left" w:pos="426"/>
        </w:tabs>
        <w:snapToGrid w:val="0"/>
        <w:spacing w:line="360" w:lineRule="auto"/>
        <w:rPr>
          <w:color w:val="000000"/>
          <w:sz w:val="24"/>
          <w:szCs w:val="24"/>
        </w:rPr>
      </w:pPr>
      <w:r>
        <w:rPr>
          <w:rFonts w:hint="eastAsia"/>
          <w:color w:val="000000"/>
          <w:sz w:val="24"/>
          <w:szCs w:val="24"/>
        </w:rPr>
        <w:t>投标人应详细阅读招标文件中所有须知、格式、条款和规定等，投标人未按招标文件要求提供全部资料或提交的投标文件未对招标文件做出全面的解释，投标人将承担一切后果。</w:t>
      </w:r>
    </w:p>
    <w:p>
      <w:pPr>
        <w:numPr>
          <w:ilvl w:val="0"/>
          <w:numId w:val="2"/>
        </w:numPr>
        <w:tabs>
          <w:tab w:val="left" w:pos="426"/>
        </w:tabs>
        <w:snapToGrid w:val="0"/>
        <w:spacing w:line="360" w:lineRule="auto"/>
        <w:rPr>
          <w:color w:val="000000"/>
          <w:sz w:val="24"/>
          <w:szCs w:val="24"/>
        </w:rPr>
      </w:pPr>
      <w:r>
        <w:rPr>
          <w:rFonts w:hint="eastAsia"/>
          <w:color w:val="000000"/>
          <w:sz w:val="24"/>
          <w:szCs w:val="24"/>
        </w:rPr>
        <w:t>投标文件的修改或撤销：投标人在提交投标文件后，不可对其投标文件进行修改，但有权撤销。撤销时须在提交投标文件截止日期前以书面和电话两种形式同时通知招标人。</w:t>
      </w:r>
    </w:p>
    <w:p>
      <w:pPr>
        <w:numPr>
          <w:ilvl w:val="0"/>
          <w:numId w:val="2"/>
        </w:numPr>
        <w:tabs>
          <w:tab w:val="left" w:pos="426"/>
        </w:tabs>
        <w:snapToGrid w:val="0"/>
        <w:spacing w:line="360" w:lineRule="auto"/>
        <w:rPr>
          <w:color w:val="000000"/>
          <w:sz w:val="24"/>
          <w:szCs w:val="24"/>
        </w:rPr>
      </w:pPr>
      <w:r>
        <w:rPr>
          <w:rFonts w:hint="eastAsia"/>
          <w:color w:val="000000"/>
          <w:sz w:val="24"/>
          <w:szCs w:val="24"/>
        </w:rPr>
        <w:t>任何投标人不得与评标人就其投标问题进行联系，以保证招标工作的公正性。投标人如有任何影响评标和授予合同工作公正性的尝试，招标小组将取消该投标人投标资格。</w:t>
      </w:r>
    </w:p>
    <w:p>
      <w:pPr>
        <w:numPr>
          <w:ilvl w:val="0"/>
          <w:numId w:val="2"/>
        </w:numPr>
        <w:tabs>
          <w:tab w:val="left" w:pos="426"/>
        </w:tabs>
        <w:snapToGrid w:val="0"/>
        <w:spacing w:line="360" w:lineRule="auto"/>
        <w:rPr>
          <w:color w:val="000000"/>
          <w:sz w:val="24"/>
          <w:szCs w:val="24"/>
        </w:rPr>
      </w:pPr>
      <w:r>
        <w:rPr>
          <w:rFonts w:hint="eastAsia"/>
          <w:color w:val="000000"/>
          <w:sz w:val="24"/>
          <w:szCs w:val="24"/>
        </w:rPr>
        <w:t>中标人不得以任何形式转包或个人承包，否则招标小组将在以后的招标中取消该投标人投标资格或终止已中标项目合同的执行。</w:t>
      </w:r>
    </w:p>
    <w:p>
      <w:pPr>
        <w:numPr>
          <w:ilvl w:val="0"/>
          <w:numId w:val="2"/>
        </w:numPr>
        <w:snapToGrid w:val="0"/>
        <w:spacing w:line="360" w:lineRule="auto"/>
        <w:rPr>
          <w:color w:val="000000"/>
          <w:sz w:val="24"/>
          <w:szCs w:val="24"/>
        </w:rPr>
      </w:pPr>
      <w:r>
        <w:rPr>
          <w:rFonts w:hint="eastAsia"/>
          <w:color w:val="000000"/>
          <w:sz w:val="24"/>
          <w:szCs w:val="24"/>
        </w:rPr>
        <w:t>预结算编审期限按照双方约定的期限为准，中标人在实际进度与招标人要求进度出现明显滞后的情况下，需以书面形式说明原因，若中标人原因造成编审期限延误，每延误一天，扣除编审费用的</w:t>
      </w:r>
      <w:r>
        <w:rPr>
          <w:sz w:val="24"/>
          <w:szCs w:val="24"/>
        </w:rPr>
        <w:t>2%</w:t>
      </w:r>
      <w:r>
        <w:rPr>
          <w:rFonts w:hint="eastAsia"/>
          <w:color w:val="000000"/>
          <w:sz w:val="24"/>
          <w:szCs w:val="24"/>
        </w:rPr>
        <w:t>，扣除费用上限总额为编审费用的</w:t>
      </w:r>
      <w:r>
        <w:rPr>
          <w:sz w:val="24"/>
          <w:szCs w:val="24"/>
        </w:rPr>
        <w:t>30%</w:t>
      </w:r>
      <w:r>
        <w:rPr>
          <w:rFonts w:hint="eastAsia"/>
          <w:color w:val="000000"/>
          <w:sz w:val="24"/>
          <w:szCs w:val="24"/>
        </w:rPr>
        <w:t>。</w:t>
      </w:r>
    </w:p>
    <w:p>
      <w:pPr>
        <w:numPr>
          <w:ilvl w:val="0"/>
          <w:numId w:val="2"/>
        </w:numPr>
        <w:snapToGrid w:val="0"/>
        <w:spacing w:line="360" w:lineRule="auto"/>
        <w:rPr>
          <w:sz w:val="24"/>
          <w:szCs w:val="24"/>
        </w:rPr>
      </w:pPr>
      <w:r>
        <w:rPr>
          <w:rFonts w:hint="eastAsia"/>
          <w:color w:val="000000"/>
          <w:sz w:val="24"/>
          <w:szCs w:val="24"/>
        </w:rPr>
        <w:t>结算审核完成后，中标人出具由承建方、审核方双方认可的工程结算审核报告一式三份</w:t>
      </w:r>
      <w:r>
        <w:rPr>
          <w:rFonts w:hint="eastAsia"/>
          <w:sz w:val="24"/>
          <w:szCs w:val="24"/>
        </w:rPr>
        <w:t>（预算编制完成后，出具工程预算书一式三份）。</w:t>
      </w:r>
    </w:p>
    <w:p>
      <w:pPr>
        <w:numPr>
          <w:ilvl w:val="0"/>
          <w:numId w:val="2"/>
        </w:numPr>
        <w:snapToGrid w:val="0"/>
        <w:spacing w:line="360" w:lineRule="auto"/>
        <w:rPr>
          <w:sz w:val="24"/>
          <w:szCs w:val="24"/>
        </w:rPr>
      </w:pPr>
      <w:r>
        <w:rPr>
          <w:rFonts w:hint="eastAsia"/>
          <w:color w:val="000000"/>
          <w:sz w:val="24"/>
          <w:szCs w:val="24"/>
        </w:rPr>
        <w:t>工程造价咨询服务费计费依据是工程结算（预算）造价</w:t>
      </w:r>
      <w:r>
        <w:rPr>
          <w:rFonts w:hint="eastAsia"/>
          <w:sz w:val="24"/>
          <w:szCs w:val="24"/>
        </w:rPr>
        <w:t>，</w:t>
      </w:r>
      <w:r>
        <w:rPr>
          <w:rFonts w:hint="eastAsia"/>
          <w:color w:val="000000"/>
          <w:sz w:val="24"/>
          <w:szCs w:val="24"/>
        </w:rPr>
        <w:t>不计取基本费。一审结算审核费用按工程造价审减额（工程</w:t>
      </w:r>
      <w:r>
        <w:rPr>
          <w:rFonts w:hint="eastAsia"/>
          <w:sz w:val="24"/>
          <w:szCs w:val="24"/>
        </w:rPr>
        <w:t>造价审减额=承建方上报结算价-初审造价）的百分比计取；</w:t>
      </w:r>
      <w:r>
        <w:rPr>
          <w:rFonts w:hint="eastAsia"/>
          <w:color w:val="000000"/>
          <w:sz w:val="24"/>
          <w:szCs w:val="24"/>
        </w:rPr>
        <w:t>复审结算审核费用按工程造价审减额（工程造价审减额=一审造价-审定造价）的百分比计取；</w:t>
      </w:r>
      <w:r>
        <w:rPr>
          <w:rFonts w:hint="eastAsia"/>
          <w:sz w:val="24"/>
          <w:szCs w:val="24"/>
        </w:rPr>
        <w:t>预算编制费用按预算金额的千分比计取。（初审造价为中标人与承建方经过核对一致同意但未经招标人核查的结果）</w:t>
      </w:r>
    </w:p>
    <w:p>
      <w:pPr>
        <w:numPr>
          <w:ilvl w:val="0"/>
          <w:numId w:val="2"/>
        </w:numPr>
        <w:snapToGrid w:val="0"/>
        <w:spacing w:line="360" w:lineRule="auto"/>
        <w:rPr>
          <w:bCs/>
          <w:sz w:val="24"/>
          <w:szCs w:val="24"/>
        </w:rPr>
      </w:pPr>
      <w:r>
        <w:rPr>
          <w:rFonts w:hint="eastAsia"/>
          <w:sz w:val="24"/>
          <w:szCs w:val="24"/>
        </w:rPr>
        <w:t>工程造价咨询服务无预付款。服务费用以现汇方式支付，支付时间为：半年支付一次</w:t>
      </w:r>
      <w:r>
        <w:rPr>
          <w:rFonts w:hint="eastAsia"/>
          <w:b/>
          <w:sz w:val="24"/>
          <w:szCs w:val="24"/>
        </w:rPr>
        <w:t>。</w:t>
      </w:r>
      <w:r>
        <w:rPr>
          <w:rFonts w:hint="eastAsia"/>
          <w:bCs/>
          <w:sz w:val="24"/>
          <w:szCs w:val="24"/>
        </w:rPr>
        <w:t>方式：电汇，税率：6%</w:t>
      </w:r>
    </w:p>
    <w:p>
      <w:pPr>
        <w:numPr>
          <w:ilvl w:val="0"/>
          <w:numId w:val="2"/>
        </w:numPr>
        <w:snapToGrid w:val="0"/>
        <w:spacing w:line="360" w:lineRule="auto"/>
        <w:rPr>
          <w:b/>
          <w:sz w:val="24"/>
          <w:szCs w:val="24"/>
        </w:rPr>
      </w:pPr>
      <w:r>
        <w:rPr>
          <w:rFonts w:hint="eastAsia"/>
          <w:sz w:val="24"/>
          <w:szCs w:val="24"/>
        </w:rPr>
        <w:t>工程项目结算一审时间：结算金额在100万元（含100万元）以下项目，结算审核时间不超过30天；结算金额在100万元至5</w:t>
      </w:r>
      <w:r>
        <w:rPr>
          <w:sz w:val="24"/>
          <w:szCs w:val="24"/>
        </w:rPr>
        <w:t>00</w:t>
      </w:r>
      <w:r>
        <w:rPr>
          <w:rFonts w:hint="eastAsia"/>
          <w:sz w:val="24"/>
          <w:szCs w:val="24"/>
        </w:rPr>
        <w:t>万元（含5</w:t>
      </w:r>
      <w:r>
        <w:rPr>
          <w:sz w:val="24"/>
          <w:szCs w:val="24"/>
        </w:rPr>
        <w:t>00</w:t>
      </w:r>
      <w:r>
        <w:rPr>
          <w:rFonts w:hint="eastAsia"/>
          <w:sz w:val="24"/>
          <w:szCs w:val="24"/>
        </w:rPr>
        <w:t>万）以下项目，结算审核时间不超过60天；结算金额在</w:t>
      </w:r>
      <w:r>
        <w:rPr>
          <w:sz w:val="24"/>
          <w:szCs w:val="24"/>
        </w:rPr>
        <w:t>500</w:t>
      </w:r>
      <w:r>
        <w:rPr>
          <w:rFonts w:hint="eastAsia"/>
          <w:sz w:val="24"/>
          <w:szCs w:val="24"/>
        </w:rPr>
        <w:t>万元至</w:t>
      </w:r>
      <w:r>
        <w:rPr>
          <w:sz w:val="24"/>
          <w:szCs w:val="24"/>
        </w:rPr>
        <w:t>1000</w:t>
      </w:r>
      <w:r>
        <w:rPr>
          <w:rFonts w:hint="eastAsia"/>
          <w:sz w:val="24"/>
          <w:szCs w:val="24"/>
        </w:rPr>
        <w:t>万元（含</w:t>
      </w:r>
      <w:r>
        <w:rPr>
          <w:sz w:val="24"/>
          <w:szCs w:val="24"/>
        </w:rPr>
        <w:t>1000</w:t>
      </w:r>
      <w:r>
        <w:rPr>
          <w:rFonts w:hint="eastAsia"/>
          <w:sz w:val="24"/>
          <w:szCs w:val="24"/>
        </w:rPr>
        <w:t>万）之间的项目，结算审核时间不超过70天；结算金额在</w:t>
      </w:r>
      <w:r>
        <w:rPr>
          <w:sz w:val="24"/>
          <w:szCs w:val="24"/>
        </w:rPr>
        <w:t>1000</w:t>
      </w:r>
      <w:r>
        <w:rPr>
          <w:rFonts w:hint="eastAsia"/>
          <w:sz w:val="24"/>
          <w:szCs w:val="24"/>
        </w:rPr>
        <w:t>万元至</w:t>
      </w:r>
      <w:r>
        <w:rPr>
          <w:sz w:val="24"/>
          <w:szCs w:val="24"/>
        </w:rPr>
        <w:t>5000</w:t>
      </w:r>
      <w:r>
        <w:rPr>
          <w:rFonts w:hint="eastAsia"/>
          <w:sz w:val="24"/>
          <w:szCs w:val="24"/>
        </w:rPr>
        <w:t>万元（含</w:t>
      </w:r>
      <w:r>
        <w:rPr>
          <w:sz w:val="24"/>
          <w:szCs w:val="24"/>
        </w:rPr>
        <w:t>5000</w:t>
      </w:r>
      <w:r>
        <w:rPr>
          <w:rFonts w:hint="eastAsia"/>
          <w:sz w:val="24"/>
          <w:szCs w:val="24"/>
        </w:rPr>
        <w:t>万）之间的项目，结算审核时间不超过80天；结算金额在</w:t>
      </w:r>
      <w:r>
        <w:rPr>
          <w:sz w:val="24"/>
          <w:szCs w:val="24"/>
        </w:rPr>
        <w:t>5000</w:t>
      </w:r>
      <w:r>
        <w:rPr>
          <w:rFonts w:hint="eastAsia"/>
          <w:sz w:val="24"/>
          <w:szCs w:val="24"/>
        </w:rPr>
        <w:t>万元以上项目，结算审核时间不超过100天。</w:t>
      </w:r>
    </w:p>
    <w:p>
      <w:pPr>
        <w:numPr>
          <w:ilvl w:val="0"/>
          <w:numId w:val="2"/>
        </w:numPr>
        <w:snapToGrid w:val="0"/>
        <w:spacing w:line="360" w:lineRule="auto"/>
        <w:rPr>
          <w:b/>
          <w:sz w:val="24"/>
          <w:szCs w:val="24"/>
        </w:rPr>
      </w:pPr>
      <w:r>
        <w:rPr>
          <w:rFonts w:hint="eastAsia"/>
          <w:sz w:val="24"/>
          <w:szCs w:val="24"/>
        </w:rPr>
        <w:t>工程项目结算复审时间：一审结算金额在1000万元以内（含1000万元），项目复核审计时间不超过40天；一审结算金额在1000万元至5000万元（含5000万元）之间，项目复核审计时间不超过60天；一审结算金额在5000万元以上，项目复核审计时间不超过70天。</w:t>
      </w:r>
    </w:p>
    <w:p>
      <w:pPr>
        <w:numPr>
          <w:ilvl w:val="0"/>
          <w:numId w:val="2"/>
        </w:numPr>
        <w:snapToGrid w:val="0"/>
        <w:spacing w:line="360" w:lineRule="auto"/>
        <w:rPr>
          <w:sz w:val="24"/>
          <w:szCs w:val="24"/>
        </w:rPr>
      </w:pPr>
      <w:r>
        <w:rPr>
          <w:rFonts w:hint="eastAsia"/>
          <w:sz w:val="24"/>
          <w:szCs w:val="24"/>
        </w:rPr>
        <w:t>中标人应对被委托的工程项目进行必要的现场勘察及核实，需公司相关工程管理人员陪同。对于争议问题，重要性工作量，不清晰的工作量，签证为主的工作量进行现场抽查计量，做好过程质量控制。</w:t>
      </w:r>
    </w:p>
    <w:p>
      <w:pPr>
        <w:snapToGrid w:val="0"/>
        <w:spacing w:line="360" w:lineRule="auto"/>
        <w:ind w:left="1004"/>
        <w:rPr>
          <w:sz w:val="24"/>
          <w:szCs w:val="24"/>
        </w:rPr>
      </w:pPr>
      <w:r>
        <w:rPr>
          <w:rFonts w:hint="eastAsia"/>
          <w:sz w:val="24"/>
          <w:szCs w:val="24"/>
        </w:rPr>
        <w:t>任何资料的提供、转交都需通过预结算管理人员确认；所有资料在预结算编审完成后需移交招标方。工程造价咨询机构存档审核过程资料、计算底稿、预结算书的电子版，随时供复核抽查。与此相关所发生的差旅费、生活费等相关费用由中标人自行解决，中标人应在投标报价中予以考虑。</w:t>
      </w:r>
    </w:p>
    <w:p>
      <w:pPr>
        <w:snapToGrid w:val="0"/>
        <w:spacing w:line="360" w:lineRule="auto"/>
        <w:ind w:left="1004"/>
        <w:rPr>
          <w:sz w:val="24"/>
          <w:szCs w:val="24"/>
        </w:rPr>
      </w:pPr>
      <w:r>
        <w:rPr>
          <w:rFonts w:hint="eastAsia"/>
          <w:sz w:val="24"/>
          <w:szCs w:val="24"/>
        </w:rPr>
        <w:t>中标人内部须有复核机制，审核人/编制人，复核人在结算审核报告、预算书上签字盖章，对其编审结果负责。</w:t>
      </w:r>
    </w:p>
    <w:p>
      <w:pPr>
        <w:numPr>
          <w:ilvl w:val="0"/>
          <w:numId w:val="2"/>
        </w:numPr>
        <w:snapToGrid w:val="0"/>
        <w:spacing w:line="360" w:lineRule="auto"/>
        <w:rPr>
          <w:b/>
          <w:sz w:val="24"/>
          <w:szCs w:val="24"/>
        </w:rPr>
      </w:pPr>
      <w:r>
        <w:rPr>
          <w:rFonts w:hint="eastAsia"/>
          <w:sz w:val="24"/>
          <w:szCs w:val="24"/>
        </w:rPr>
        <w:t>招标人规定工程造价审核误差控制在1.5%以内，招标人有权对工程造价审核质量进行抽查或复审。若超过招标人规定的误差范围，按下列标准进行考核：</w:t>
      </w:r>
    </w:p>
    <w:tbl>
      <w:tblPr>
        <w:tblStyle w:val="13"/>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27"/>
        <w:gridCol w:w="1559"/>
        <w:gridCol w:w="1417"/>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40" w:lineRule="atLeast"/>
              <w:jc w:val="center"/>
              <w:rPr>
                <w:rFonts w:cs="仿宋_GB2312"/>
                <w:b/>
                <w:sz w:val="24"/>
                <w:szCs w:val="24"/>
              </w:rPr>
            </w:pPr>
            <w:r>
              <w:rPr>
                <w:rFonts w:hint="eastAsia" w:cs="仿宋_GB2312"/>
                <w:b/>
                <w:sz w:val="24"/>
                <w:szCs w:val="24"/>
              </w:rPr>
              <w:t>审核误差率</w:t>
            </w:r>
          </w:p>
        </w:tc>
        <w:tc>
          <w:tcPr>
            <w:tcW w:w="1327" w:type="dxa"/>
          </w:tcPr>
          <w:p>
            <w:pPr>
              <w:spacing w:line="440" w:lineRule="atLeast"/>
              <w:jc w:val="center"/>
              <w:rPr>
                <w:rFonts w:cs="仿宋_GB2312"/>
                <w:b/>
                <w:sz w:val="24"/>
                <w:szCs w:val="24"/>
              </w:rPr>
            </w:pPr>
            <w:r>
              <w:rPr>
                <w:rFonts w:hint="eastAsia" w:cs="仿宋_GB2312"/>
                <w:b/>
                <w:sz w:val="24"/>
                <w:szCs w:val="24"/>
              </w:rPr>
              <w:t>1.5％以内</w:t>
            </w:r>
          </w:p>
        </w:tc>
        <w:tc>
          <w:tcPr>
            <w:tcW w:w="1559" w:type="dxa"/>
          </w:tcPr>
          <w:p>
            <w:pPr>
              <w:spacing w:line="440" w:lineRule="atLeast"/>
              <w:jc w:val="center"/>
              <w:rPr>
                <w:rFonts w:cs="仿宋_GB2312"/>
                <w:b/>
                <w:sz w:val="24"/>
                <w:szCs w:val="24"/>
              </w:rPr>
            </w:pPr>
            <w:r>
              <w:rPr>
                <w:rFonts w:hint="eastAsia" w:cs="仿宋_GB2312"/>
                <w:b/>
                <w:sz w:val="24"/>
                <w:szCs w:val="24"/>
              </w:rPr>
              <w:t>1.5-3％</w:t>
            </w:r>
          </w:p>
        </w:tc>
        <w:tc>
          <w:tcPr>
            <w:tcW w:w="1417" w:type="dxa"/>
          </w:tcPr>
          <w:p>
            <w:pPr>
              <w:spacing w:line="440" w:lineRule="atLeast"/>
              <w:jc w:val="center"/>
              <w:rPr>
                <w:rFonts w:cs="仿宋_GB2312"/>
                <w:b/>
                <w:sz w:val="24"/>
                <w:szCs w:val="24"/>
              </w:rPr>
            </w:pPr>
            <w:r>
              <w:rPr>
                <w:rFonts w:hint="eastAsia" w:cs="仿宋_GB2312"/>
                <w:b/>
                <w:sz w:val="24"/>
                <w:szCs w:val="24"/>
              </w:rPr>
              <w:t>3-5％</w:t>
            </w:r>
          </w:p>
        </w:tc>
        <w:tc>
          <w:tcPr>
            <w:tcW w:w="2112" w:type="dxa"/>
          </w:tcPr>
          <w:p>
            <w:pPr>
              <w:spacing w:line="440" w:lineRule="atLeast"/>
              <w:jc w:val="center"/>
              <w:rPr>
                <w:rFonts w:cs="仿宋_GB2312"/>
                <w:b/>
                <w:sz w:val="24"/>
                <w:szCs w:val="24"/>
              </w:rPr>
            </w:pPr>
            <w:r>
              <w:rPr>
                <w:rFonts w:hint="eastAsia" w:cs="仿宋_GB2312"/>
                <w:b/>
                <w:sz w:val="24"/>
                <w:szCs w:val="24"/>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40" w:lineRule="atLeast"/>
              <w:jc w:val="left"/>
              <w:rPr>
                <w:rFonts w:cs="仿宋_GB2312"/>
                <w:sz w:val="24"/>
                <w:szCs w:val="24"/>
              </w:rPr>
            </w:pPr>
            <w:r>
              <w:rPr>
                <w:rFonts w:hint="eastAsia" w:cs="仿宋_GB2312"/>
                <w:sz w:val="24"/>
                <w:szCs w:val="24"/>
              </w:rPr>
              <w:t>考核要求（以审核费用为基数）</w:t>
            </w:r>
          </w:p>
        </w:tc>
        <w:tc>
          <w:tcPr>
            <w:tcW w:w="1327" w:type="dxa"/>
          </w:tcPr>
          <w:p>
            <w:pPr>
              <w:spacing w:line="440" w:lineRule="atLeast"/>
              <w:jc w:val="left"/>
              <w:rPr>
                <w:rFonts w:cs="仿宋_GB2312"/>
                <w:sz w:val="24"/>
                <w:szCs w:val="24"/>
              </w:rPr>
            </w:pPr>
            <w:r>
              <w:rPr>
                <w:rFonts w:hint="eastAsia" w:cs="仿宋_GB2312"/>
                <w:sz w:val="24"/>
                <w:szCs w:val="24"/>
              </w:rPr>
              <w:t>正常支付</w:t>
            </w:r>
          </w:p>
        </w:tc>
        <w:tc>
          <w:tcPr>
            <w:tcW w:w="1559" w:type="dxa"/>
          </w:tcPr>
          <w:p>
            <w:pPr>
              <w:spacing w:line="440" w:lineRule="atLeast"/>
              <w:jc w:val="left"/>
              <w:rPr>
                <w:rFonts w:cs="仿宋_GB2312"/>
                <w:sz w:val="24"/>
                <w:szCs w:val="24"/>
              </w:rPr>
            </w:pPr>
            <w:r>
              <w:rPr>
                <w:rFonts w:hint="eastAsia" w:cs="仿宋_GB2312"/>
                <w:sz w:val="24"/>
                <w:szCs w:val="24"/>
              </w:rPr>
              <w:t>扣除20％</w:t>
            </w:r>
          </w:p>
        </w:tc>
        <w:tc>
          <w:tcPr>
            <w:tcW w:w="1417" w:type="dxa"/>
          </w:tcPr>
          <w:p>
            <w:pPr>
              <w:spacing w:line="440" w:lineRule="atLeast"/>
              <w:jc w:val="left"/>
              <w:rPr>
                <w:rFonts w:cs="仿宋_GB2312"/>
                <w:sz w:val="24"/>
                <w:szCs w:val="24"/>
              </w:rPr>
            </w:pPr>
            <w:r>
              <w:rPr>
                <w:rFonts w:hint="eastAsia" w:cs="仿宋_GB2312"/>
                <w:sz w:val="24"/>
                <w:szCs w:val="24"/>
              </w:rPr>
              <w:t>扣除50％</w:t>
            </w:r>
          </w:p>
        </w:tc>
        <w:tc>
          <w:tcPr>
            <w:tcW w:w="2112" w:type="dxa"/>
          </w:tcPr>
          <w:p>
            <w:pPr>
              <w:spacing w:line="440" w:lineRule="atLeast"/>
              <w:jc w:val="left"/>
              <w:rPr>
                <w:rFonts w:cs="仿宋_GB2312"/>
                <w:sz w:val="24"/>
                <w:szCs w:val="24"/>
              </w:rPr>
            </w:pPr>
            <w:r>
              <w:rPr>
                <w:rFonts w:hint="eastAsia" w:cs="仿宋_GB2312"/>
                <w:sz w:val="24"/>
                <w:szCs w:val="24"/>
              </w:rPr>
              <w:t>拒绝支付审核费用，追究法律责任</w:t>
            </w:r>
          </w:p>
        </w:tc>
      </w:tr>
    </w:tbl>
    <w:p>
      <w:pPr>
        <w:widowControl/>
        <w:adjustRightInd w:val="0"/>
        <w:snapToGrid w:val="0"/>
        <w:spacing w:line="360" w:lineRule="auto"/>
        <w:ind w:left="1004"/>
        <w:jc w:val="left"/>
        <w:rPr>
          <w:rFonts w:cs="宋体"/>
          <w:kern w:val="0"/>
          <w:sz w:val="28"/>
          <w:szCs w:val="28"/>
        </w:rPr>
      </w:pPr>
    </w:p>
    <w:p>
      <w:pPr>
        <w:widowControl/>
        <w:numPr>
          <w:ilvl w:val="0"/>
          <w:numId w:val="2"/>
        </w:numPr>
        <w:adjustRightInd w:val="0"/>
        <w:snapToGrid w:val="0"/>
        <w:spacing w:line="360" w:lineRule="auto"/>
        <w:jc w:val="left"/>
        <w:rPr>
          <w:sz w:val="24"/>
          <w:szCs w:val="24"/>
        </w:rPr>
      </w:pPr>
      <w:r>
        <w:rPr>
          <w:rFonts w:hint="eastAsia"/>
          <w:sz w:val="24"/>
          <w:szCs w:val="24"/>
        </w:rPr>
        <w:t>如违反以上规定，造成招标人损失及产生其他负面影响的，招标人有权解除合同，造成的一切后果由中标人承担。</w:t>
      </w:r>
    </w:p>
    <w:p>
      <w:pPr>
        <w:widowControl/>
        <w:adjustRightInd w:val="0"/>
        <w:snapToGrid w:val="0"/>
        <w:spacing w:line="360" w:lineRule="auto"/>
        <w:ind w:left="1004" w:firstLine="120" w:firstLineChars="50"/>
        <w:jc w:val="left"/>
        <w:rPr>
          <w:sz w:val="24"/>
          <w:szCs w:val="24"/>
        </w:rPr>
      </w:pPr>
      <w:r>
        <w:rPr>
          <w:rFonts w:hint="eastAsia"/>
          <w:sz w:val="24"/>
          <w:szCs w:val="24"/>
        </w:rPr>
        <w:t>双方权利与义务</w:t>
      </w:r>
    </w:p>
    <w:p>
      <w:pPr>
        <w:widowControl/>
        <w:numPr>
          <w:ilvl w:val="0"/>
          <w:numId w:val="2"/>
        </w:numPr>
        <w:adjustRightInd w:val="0"/>
        <w:snapToGrid w:val="0"/>
        <w:spacing w:line="360" w:lineRule="auto"/>
        <w:jc w:val="left"/>
        <w:rPr>
          <w:sz w:val="24"/>
          <w:szCs w:val="24"/>
        </w:rPr>
      </w:pPr>
      <w:r>
        <w:rPr>
          <w:rFonts w:hint="eastAsia"/>
          <w:sz w:val="24"/>
          <w:szCs w:val="24"/>
        </w:rPr>
        <w:t>（一）招标人权利与义务：</w:t>
      </w:r>
    </w:p>
    <w:p>
      <w:pPr>
        <w:widowControl/>
        <w:adjustRightInd w:val="0"/>
        <w:snapToGrid w:val="0"/>
        <w:spacing w:line="360" w:lineRule="auto"/>
        <w:ind w:left="1146"/>
        <w:jc w:val="left"/>
        <w:rPr>
          <w:sz w:val="24"/>
          <w:szCs w:val="24"/>
        </w:rPr>
      </w:pPr>
      <w:r>
        <w:rPr>
          <w:rFonts w:hint="eastAsia"/>
          <w:sz w:val="24"/>
          <w:szCs w:val="24"/>
        </w:rPr>
        <w:t xml:space="preserve">1、有权核查中标人提交的咨询成果文件或委托第三方代为核查，有权对其存在的具体问题提出意见和建议； </w:t>
      </w:r>
    </w:p>
    <w:p>
      <w:pPr>
        <w:widowControl/>
        <w:numPr>
          <w:ilvl w:val="0"/>
          <w:numId w:val="3"/>
        </w:numPr>
        <w:adjustRightInd w:val="0"/>
        <w:snapToGrid w:val="0"/>
        <w:spacing w:line="360" w:lineRule="auto"/>
        <w:jc w:val="left"/>
        <w:rPr>
          <w:sz w:val="24"/>
          <w:szCs w:val="24"/>
        </w:rPr>
      </w:pPr>
      <w:r>
        <w:rPr>
          <w:rFonts w:hint="eastAsia"/>
          <w:sz w:val="24"/>
          <w:szCs w:val="24"/>
        </w:rPr>
        <w:t xml:space="preserve">对提供给中标人资料的完整性、真实性、有效性负责； </w:t>
      </w:r>
    </w:p>
    <w:p>
      <w:pPr>
        <w:widowControl/>
        <w:numPr>
          <w:ilvl w:val="0"/>
          <w:numId w:val="3"/>
        </w:numPr>
        <w:adjustRightInd w:val="0"/>
        <w:snapToGrid w:val="0"/>
        <w:spacing w:line="360" w:lineRule="auto"/>
        <w:jc w:val="left"/>
        <w:rPr>
          <w:sz w:val="24"/>
          <w:szCs w:val="24"/>
        </w:rPr>
      </w:pPr>
      <w:r>
        <w:rPr>
          <w:rFonts w:hint="eastAsia"/>
          <w:sz w:val="24"/>
          <w:szCs w:val="24"/>
        </w:rPr>
        <w:t>做好各相关单位的协调与配合工作；</w:t>
      </w:r>
    </w:p>
    <w:p>
      <w:pPr>
        <w:widowControl/>
        <w:numPr>
          <w:ilvl w:val="0"/>
          <w:numId w:val="3"/>
        </w:numPr>
        <w:adjustRightInd w:val="0"/>
        <w:snapToGrid w:val="0"/>
        <w:spacing w:line="360" w:lineRule="auto"/>
        <w:jc w:val="left"/>
        <w:rPr>
          <w:sz w:val="24"/>
          <w:szCs w:val="24"/>
        </w:rPr>
      </w:pPr>
      <w:r>
        <w:rPr>
          <w:rFonts w:hint="eastAsia"/>
          <w:sz w:val="24"/>
          <w:szCs w:val="24"/>
        </w:rPr>
        <w:t>及时支付工程造价咨询费。</w:t>
      </w:r>
    </w:p>
    <w:p>
      <w:pPr>
        <w:widowControl/>
        <w:numPr>
          <w:ilvl w:val="0"/>
          <w:numId w:val="2"/>
        </w:numPr>
        <w:adjustRightInd w:val="0"/>
        <w:snapToGrid w:val="0"/>
        <w:spacing w:line="360" w:lineRule="auto"/>
        <w:jc w:val="left"/>
        <w:rPr>
          <w:sz w:val="24"/>
          <w:szCs w:val="24"/>
        </w:rPr>
      </w:pPr>
      <w:r>
        <w:rPr>
          <w:rFonts w:hint="eastAsia"/>
          <w:sz w:val="28"/>
          <w:szCs w:val="28"/>
        </w:rPr>
        <w:t xml:space="preserve"> </w:t>
      </w:r>
      <w:r>
        <w:rPr>
          <w:rFonts w:hint="eastAsia"/>
          <w:sz w:val="24"/>
          <w:szCs w:val="24"/>
        </w:rPr>
        <w:t>（二）中标人权利与义务：</w:t>
      </w:r>
    </w:p>
    <w:p>
      <w:pPr>
        <w:widowControl/>
        <w:adjustRightInd w:val="0"/>
        <w:snapToGrid w:val="0"/>
        <w:spacing w:line="360" w:lineRule="auto"/>
        <w:ind w:left="945" w:leftChars="450"/>
        <w:jc w:val="left"/>
        <w:rPr>
          <w:sz w:val="24"/>
          <w:szCs w:val="24"/>
        </w:rPr>
      </w:pPr>
      <w:r>
        <w:rPr>
          <w:rFonts w:hint="eastAsia"/>
          <w:sz w:val="24"/>
          <w:szCs w:val="24"/>
        </w:rPr>
        <w:t>1、本着客观公正、实事求是的原则，根据招标人提供的资料，对被委托的工程进行预结算的编审；</w:t>
      </w:r>
    </w:p>
    <w:p>
      <w:pPr>
        <w:widowControl/>
        <w:adjustRightInd w:val="0"/>
        <w:snapToGrid w:val="0"/>
        <w:spacing w:line="360" w:lineRule="auto"/>
        <w:ind w:left="945" w:leftChars="450"/>
        <w:jc w:val="left"/>
        <w:rPr>
          <w:rFonts w:hint="eastAsia"/>
          <w:sz w:val="24"/>
          <w:szCs w:val="24"/>
        </w:rPr>
      </w:pPr>
      <w:r>
        <w:rPr>
          <w:rFonts w:hint="eastAsia"/>
          <w:sz w:val="24"/>
          <w:szCs w:val="24"/>
        </w:rPr>
        <w:t>2、中标人依法依规进行预结算编审、发表意见，并对其出具的咨询成果文件负责；</w:t>
      </w:r>
    </w:p>
    <w:p>
      <w:pPr>
        <w:widowControl/>
        <w:adjustRightInd w:val="0"/>
        <w:snapToGrid w:val="0"/>
        <w:spacing w:line="360" w:lineRule="auto"/>
        <w:ind w:left="945" w:leftChars="450"/>
        <w:jc w:val="left"/>
        <w:rPr>
          <w:rFonts w:hint="eastAsia"/>
          <w:sz w:val="24"/>
          <w:szCs w:val="24"/>
        </w:rPr>
      </w:pPr>
      <w:r>
        <w:rPr>
          <w:rFonts w:hint="eastAsia"/>
          <w:sz w:val="24"/>
          <w:szCs w:val="24"/>
        </w:rPr>
        <w:t>3、对设计的经济合理性、材料价格、经济签证等偏离常规较大或明显不合理的部分提出建设性意见；</w:t>
      </w:r>
    </w:p>
    <w:p>
      <w:pPr>
        <w:widowControl/>
        <w:adjustRightInd w:val="0"/>
        <w:snapToGrid w:val="0"/>
        <w:spacing w:line="360" w:lineRule="auto"/>
        <w:ind w:left="945" w:leftChars="450"/>
        <w:jc w:val="left"/>
        <w:rPr>
          <w:rFonts w:hint="eastAsia"/>
          <w:sz w:val="24"/>
          <w:szCs w:val="24"/>
        </w:rPr>
      </w:pPr>
      <w:r>
        <w:rPr>
          <w:rFonts w:hint="eastAsia"/>
          <w:sz w:val="24"/>
          <w:szCs w:val="24"/>
        </w:rPr>
        <w:t>4、有权核对或当招标人在场时查问被审计单位有关造价咨询业务的问题；</w:t>
      </w:r>
    </w:p>
    <w:p>
      <w:pPr>
        <w:widowControl/>
        <w:adjustRightInd w:val="0"/>
        <w:snapToGrid w:val="0"/>
        <w:spacing w:line="360" w:lineRule="auto"/>
        <w:ind w:left="945" w:leftChars="450"/>
        <w:jc w:val="left"/>
        <w:rPr>
          <w:rFonts w:hint="eastAsia"/>
          <w:sz w:val="24"/>
          <w:szCs w:val="24"/>
        </w:rPr>
      </w:pPr>
      <w:r>
        <w:rPr>
          <w:rFonts w:hint="eastAsia"/>
          <w:sz w:val="24"/>
          <w:szCs w:val="24"/>
        </w:rPr>
        <w:t>5、严格执行审核、复核、审定三程序，以确保结算审核质量；</w:t>
      </w:r>
    </w:p>
    <w:p>
      <w:pPr>
        <w:widowControl/>
        <w:adjustRightInd w:val="0"/>
        <w:snapToGrid w:val="0"/>
        <w:spacing w:line="360" w:lineRule="auto"/>
        <w:ind w:left="945" w:leftChars="450"/>
        <w:jc w:val="left"/>
        <w:rPr>
          <w:rFonts w:hint="eastAsia"/>
          <w:sz w:val="24"/>
          <w:szCs w:val="24"/>
        </w:rPr>
      </w:pPr>
      <w:r>
        <w:rPr>
          <w:rFonts w:hint="eastAsia"/>
          <w:sz w:val="24"/>
          <w:szCs w:val="24"/>
        </w:rPr>
        <w:t>6、按照合同约定提供咨询成果文件，接受并积极配合招标人或招标人委托的第三方对咨询成果文件进行核查；</w:t>
      </w:r>
    </w:p>
    <w:p>
      <w:pPr>
        <w:widowControl/>
        <w:adjustRightInd w:val="0"/>
        <w:snapToGrid w:val="0"/>
        <w:spacing w:line="360" w:lineRule="auto"/>
        <w:ind w:left="945" w:leftChars="450"/>
        <w:jc w:val="left"/>
        <w:rPr>
          <w:rFonts w:hint="eastAsia"/>
          <w:sz w:val="24"/>
          <w:szCs w:val="24"/>
        </w:rPr>
      </w:pPr>
      <w:r>
        <w:rPr>
          <w:rFonts w:hint="eastAsia"/>
          <w:sz w:val="24"/>
          <w:szCs w:val="24"/>
        </w:rPr>
        <w:t>7、严格执行招标文件及答疑的相关规定、执行国家相关法律、法规；</w:t>
      </w:r>
    </w:p>
    <w:p>
      <w:pPr>
        <w:widowControl/>
        <w:adjustRightInd w:val="0"/>
        <w:snapToGrid w:val="0"/>
        <w:spacing w:line="360" w:lineRule="auto"/>
        <w:ind w:left="945" w:leftChars="450"/>
        <w:jc w:val="left"/>
        <w:rPr>
          <w:rFonts w:hint="eastAsia"/>
          <w:sz w:val="24"/>
          <w:szCs w:val="24"/>
        </w:rPr>
      </w:pPr>
      <w:r>
        <w:rPr>
          <w:rFonts w:hint="eastAsia"/>
          <w:sz w:val="24"/>
          <w:szCs w:val="24"/>
        </w:rPr>
        <w:t>8、保证其工作人员必须恪守职业道德，做到真正的廉洁、公正，并与招标人相关人员密切配合，在规定的期限内保质完成工程造价咨询业务；</w:t>
      </w:r>
    </w:p>
    <w:p>
      <w:pPr>
        <w:widowControl/>
        <w:adjustRightInd w:val="0"/>
        <w:snapToGrid w:val="0"/>
        <w:spacing w:line="360" w:lineRule="auto"/>
        <w:ind w:left="945" w:leftChars="450"/>
        <w:jc w:val="left"/>
        <w:rPr>
          <w:rFonts w:hint="eastAsia"/>
          <w:sz w:val="24"/>
          <w:szCs w:val="24"/>
        </w:rPr>
      </w:pPr>
      <w:r>
        <w:rPr>
          <w:rFonts w:hint="eastAsia"/>
          <w:sz w:val="24"/>
          <w:szCs w:val="24"/>
        </w:rPr>
        <w:t>9、对执行业务过程中所知悉的商业秘密和提供的资料，中标人应严格保密；</w:t>
      </w:r>
    </w:p>
    <w:p>
      <w:pPr>
        <w:widowControl/>
        <w:adjustRightInd w:val="0"/>
        <w:snapToGrid w:val="0"/>
        <w:spacing w:line="360" w:lineRule="auto"/>
        <w:ind w:left="945" w:leftChars="450"/>
        <w:jc w:val="left"/>
        <w:rPr>
          <w:rFonts w:hint="eastAsia"/>
          <w:sz w:val="24"/>
          <w:szCs w:val="24"/>
        </w:rPr>
      </w:pPr>
      <w:r>
        <w:rPr>
          <w:rFonts w:hint="eastAsia"/>
          <w:sz w:val="24"/>
          <w:szCs w:val="24"/>
        </w:rPr>
        <w:t>10、不得参与可能与招标人利益相冲突的任何活动。</w:t>
      </w:r>
    </w:p>
    <w:p>
      <w:pPr>
        <w:widowControl/>
        <w:adjustRightInd w:val="0"/>
        <w:snapToGrid w:val="0"/>
        <w:spacing w:line="360" w:lineRule="auto"/>
        <w:ind w:left="945" w:leftChars="450"/>
        <w:jc w:val="left"/>
        <w:rPr>
          <w:rFonts w:hint="eastAsia"/>
          <w:sz w:val="24"/>
          <w:szCs w:val="24"/>
        </w:rPr>
      </w:pPr>
      <w:r>
        <w:rPr>
          <w:rFonts w:hint="eastAsia"/>
          <w:sz w:val="24"/>
          <w:szCs w:val="24"/>
        </w:rPr>
        <w:t>11、如中标人工作人员玩忽职守，违背职业道德，收受被审计单位的宴请、礼金、礼品、购物卡或与被审计单位窜通谋取私利，一经发现，招标人有权将立即无条件中止本合同，中标人不允许参加以后招标。如对招标人造成经济及时间损失的，招标人将依法追究其经济责任。</w:t>
      </w:r>
    </w:p>
    <w:p>
      <w:pPr>
        <w:widowControl/>
        <w:adjustRightInd w:val="0"/>
        <w:snapToGrid w:val="0"/>
        <w:spacing w:line="360" w:lineRule="auto"/>
        <w:ind w:left="945" w:leftChars="450"/>
        <w:jc w:val="left"/>
        <w:rPr>
          <w:rFonts w:hint="eastAsia"/>
          <w:sz w:val="24"/>
          <w:szCs w:val="24"/>
        </w:rPr>
      </w:pPr>
      <w:r>
        <w:rPr>
          <w:rFonts w:hint="eastAsia"/>
          <w:sz w:val="24"/>
          <w:szCs w:val="24"/>
        </w:rPr>
        <w:t>12、如中标人工作人员服务态度较差，或不配合招标人工作，招标人将有权要求中标人更换人员，同时中标人应对其编审质量负全责。</w:t>
      </w:r>
    </w:p>
    <w:p>
      <w:pPr>
        <w:widowControl/>
        <w:numPr>
          <w:ilvl w:val="0"/>
          <w:numId w:val="2"/>
        </w:numPr>
        <w:adjustRightInd w:val="0"/>
        <w:snapToGrid w:val="0"/>
        <w:spacing w:line="360" w:lineRule="auto"/>
        <w:jc w:val="left"/>
        <w:rPr>
          <w:sz w:val="28"/>
          <w:szCs w:val="28"/>
        </w:rPr>
      </w:pPr>
      <w:r>
        <w:rPr>
          <w:rFonts w:hint="eastAsia"/>
          <w:sz w:val="24"/>
          <w:szCs w:val="24"/>
        </w:rPr>
        <w:t>本条款未提及部分参照《中华人民共和国招标法》及相关法律法规执行。</w:t>
      </w:r>
    </w:p>
    <w:p>
      <w:pPr>
        <w:pStyle w:val="2"/>
        <w:numPr>
          <w:ilvl w:val="0"/>
          <w:numId w:val="2"/>
        </w:numPr>
        <w:ind w:left="1004" w:leftChars="0" w:hanging="720" w:firstLineChars="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本次招标为视频招标，请下载腾讯会议，开标前告知会议号。</w:t>
      </w:r>
    </w:p>
    <w:p>
      <w:pPr>
        <w:widowControl/>
        <w:adjustRightInd w:val="0"/>
        <w:snapToGrid w:val="0"/>
        <w:spacing w:line="360" w:lineRule="auto"/>
        <w:ind w:left="1004"/>
        <w:jc w:val="left"/>
      </w:pPr>
    </w:p>
    <w:p>
      <w:pPr>
        <w:widowControl/>
        <w:adjustRightInd w:val="0"/>
        <w:snapToGrid w:val="0"/>
        <w:spacing w:line="360" w:lineRule="auto"/>
        <w:ind w:left="1004"/>
        <w:jc w:val="left"/>
      </w:pPr>
    </w:p>
    <w:p>
      <w:pPr>
        <w:widowControl/>
        <w:adjustRightInd w:val="0"/>
        <w:snapToGrid w:val="0"/>
        <w:spacing w:line="360" w:lineRule="auto"/>
        <w:ind w:left="1004"/>
        <w:jc w:val="left"/>
      </w:pPr>
    </w:p>
    <w:p>
      <w:pPr>
        <w:widowControl/>
        <w:adjustRightInd w:val="0"/>
        <w:snapToGrid w:val="0"/>
        <w:spacing w:line="360" w:lineRule="auto"/>
        <w:jc w:val="left"/>
      </w:pPr>
    </w:p>
    <w:p>
      <w:pPr>
        <w:widowControl/>
        <w:adjustRightInd w:val="0"/>
        <w:snapToGrid w:val="0"/>
        <w:spacing w:line="360" w:lineRule="auto"/>
        <w:ind w:left="1004"/>
        <w:jc w:val="left"/>
      </w:pPr>
    </w:p>
    <w:p>
      <w:pPr>
        <w:widowControl/>
        <w:adjustRightInd w:val="0"/>
        <w:snapToGrid w:val="0"/>
        <w:spacing w:line="360" w:lineRule="auto"/>
        <w:jc w:val="left"/>
      </w:pPr>
    </w:p>
    <w:p>
      <w:pPr>
        <w:widowControl/>
        <w:adjustRightInd w:val="0"/>
        <w:snapToGrid w:val="0"/>
        <w:spacing w:line="360" w:lineRule="auto"/>
        <w:ind w:left="1004"/>
        <w:jc w:val="left"/>
      </w:pPr>
    </w:p>
    <w:p>
      <w:pPr>
        <w:pStyle w:val="5"/>
        <w:rPr>
          <w:color w:val="000000"/>
          <w:sz w:val="28"/>
          <w:szCs w:val="28"/>
        </w:rPr>
      </w:pPr>
      <w:bookmarkStart w:id="0" w:name="_Toc435450490"/>
      <w:r>
        <w:rPr>
          <w:rFonts w:hint="eastAsia"/>
          <w:sz w:val="30"/>
          <w:szCs w:val="30"/>
        </w:rPr>
        <w:t>附件一</w:t>
      </w:r>
      <w:r>
        <w:rPr>
          <w:rFonts w:hint="eastAsia"/>
        </w:rPr>
        <w:t xml:space="preserve">           </w:t>
      </w:r>
      <w:bookmarkEnd w:id="0"/>
      <w:r>
        <w:rPr>
          <w:rFonts w:hint="eastAsia"/>
          <w:color w:val="000000"/>
          <w:sz w:val="28"/>
          <w:szCs w:val="28"/>
        </w:rPr>
        <w:t xml:space="preserve"> </w:t>
      </w:r>
      <w:r>
        <w:rPr>
          <w:rFonts w:hint="eastAsia"/>
          <w:color w:val="000000"/>
        </w:rPr>
        <w:t>标书编制说明</w:t>
      </w:r>
    </w:p>
    <w:p>
      <w:pPr>
        <w:pStyle w:val="18"/>
        <w:numPr>
          <w:ilvl w:val="0"/>
          <w:numId w:val="4"/>
        </w:numPr>
        <w:ind w:firstLineChars="0"/>
        <w:rPr>
          <w:sz w:val="24"/>
          <w:szCs w:val="24"/>
        </w:rPr>
      </w:pPr>
      <w:r>
        <w:rPr>
          <w:rFonts w:hint="eastAsia"/>
          <w:sz w:val="24"/>
          <w:szCs w:val="24"/>
        </w:rPr>
        <w:t>本项目为新兴铸管股份有限公司</w:t>
      </w:r>
      <w:r>
        <w:rPr>
          <w:rFonts w:hint="eastAsia"/>
          <w:b/>
          <w:sz w:val="24"/>
          <w:szCs w:val="24"/>
        </w:rPr>
        <w:t>芜湖工业区2022年度工程造价咨询服务</w:t>
      </w:r>
      <w:r>
        <w:rPr>
          <w:rFonts w:hint="eastAsia"/>
          <w:sz w:val="24"/>
          <w:szCs w:val="24"/>
        </w:rPr>
        <w:t>。投标文件要求一正三副（共</w:t>
      </w:r>
      <w:r>
        <w:rPr>
          <w:sz w:val="24"/>
          <w:szCs w:val="24"/>
        </w:rPr>
        <w:t>四本</w:t>
      </w:r>
      <w:r>
        <w:rPr>
          <w:rFonts w:hint="eastAsia"/>
          <w:sz w:val="24"/>
          <w:szCs w:val="24"/>
        </w:rPr>
        <w:t>）。</w:t>
      </w:r>
    </w:p>
    <w:p>
      <w:pPr>
        <w:pStyle w:val="2"/>
        <w:ind w:left="960" w:leftChars="0" w:firstLine="0" w:firstLineChars="0"/>
      </w:pPr>
    </w:p>
    <w:p>
      <w:pPr>
        <w:pStyle w:val="18"/>
        <w:adjustRightInd w:val="0"/>
        <w:snapToGrid w:val="0"/>
        <w:spacing w:line="360" w:lineRule="auto"/>
        <w:ind w:firstLine="240" w:firstLineChars="100"/>
        <w:rPr>
          <w:sz w:val="24"/>
          <w:szCs w:val="24"/>
        </w:rPr>
      </w:pPr>
      <w:r>
        <w:rPr>
          <w:rFonts w:hint="eastAsia"/>
          <w:sz w:val="24"/>
          <w:szCs w:val="24"/>
        </w:rPr>
        <w:t>二、工程预算编制费用按编制工程预算价的千分比计取，其他费用不计。</w:t>
      </w:r>
    </w:p>
    <w:p>
      <w:pPr>
        <w:pStyle w:val="18"/>
        <w:adjustRightInd w:val="0"/>
        <w:snapToGrid w:val="0"/>
        <w:spacing w:line="360" w:lineRule="auto"/>
        <w:ind w:left="360" w:firstLine="0" w:firstLineChars="0"/>
        <w:rPr>
          <w:sz w:val="24"/>
          <w:szCs w:val="24"/>
        </w:rPr>
      </w:pPr>
      <w:r>
        <w:rPr>
          <w:rFonts w:hint="eastAsia"/>
          <w:sz w:val="24"/>
          <w:szCs w:val="24"/>
        </w:rPr>
        <w:t>工程结算审核费用不计取基本费，一审结算审核费用按工程造价审减额（工程造价审减额=承建方上报结算价-初审造价）的百分比计取，</w:t>
      </w:r>
      <w:r>
        <w:rPr>
          <w:rFonts w:hint="eastAsia"/>
          <w:color w:val="000000"/>
          <w:sz w:val="24"/>
          <w:szCs w:val="24"/>
        </w:rPr>
        <w:t>复审结算审核费用按工程造价审减额（工程造价审减额=一审造价-审定造价）的百分比计取。</w:t>
      </w:r>
    </w:p>
    <w:p>
      <w:pPr>
        <w:pStyle w:val="18"/>
        <w:adjustRightInd w:val="0"/>
        <w:snapToGrid w:val="0"/>
        <w:spacing w:line="360" w:lineRule="auto"/>
        <w:ind w:left="360" w:firstLine="0" w:firstLineChars="0"/>
        <w:rPr>
          <w:sz w:val="24"/>
          <w:szCs w:val="24"/>
        </w:rPr>
      </w:pPr>
    </w:p>
    <w:p>
      <w:pPr>
        <w:adjustRightInd w:val="0"/>
        <w:snapToGrid w:val="0"/>
        <w:spacing w:line="360" w:lineRule="auto"/>
        <w:ind w:firstLine="240" w:firstLineChars="100"/>
        <w:rPr>
          <w:sz w:val="24"/>
          <w:szCs w:val="24"/>
        </w:rPr>
      </w:pPr>
      <w:r>
        <w:rPr>
          <w:rFonts w:hint="eastAsia"/>
          <w:sz w:val="24"/>
          <w:szCs w:val="24"/>
        </w:rPr>
        <w:t>三、结算审核完成后，中标人出具由承建方、审核方双方认可的工程结算审核报告一式三份，审核报告应备注详细的工程内容说明及造价分析，达到招标人基建财务决算转资的要求。（预算编制完成后，出具工程预算书一式三份）。</w:t>
      </w:r>
    </w:p>
    <w:p>
      <w:pPr>
        <w:adjustRightInd w:val="0"/>
        <w:snapToGrid w:val="0"/>
        <w:spacing w:line="360" w:lineRule="auto"/>
        <w:ind w:firstLine="480" w:firstLineChars="200"/>
        <w:rPr>
          <w:color w:val="000000"/>
          <w:sz w:val="24"/>
          <w:szCs w:val="24"/>
        </w:rPr>
      </w:pPr>
      <w:r>
        <w:rPr>
          <w:rFonts w:hint="eastAsia"/>
          <w:color w:val="000000"/>
          <w:sz w:val="24"/>
          <w:szCs w:val="24"/>
        </w:rPr>
        <w:t>四、审核内容</w:t>
      </w:r>
    </w:p>
    <w:p>
      <w:pPr>
        <w:adjustRightInd w:val="0"/>
        <w:snapToGrid w:val="0"/>
        <w:spacing w:line="360" w:lineRule="auto"/>
        <w:rPr>
          <w:color w:val="000000"/>
          <w:sz w:val="24"/>
          <w:szCs w:val="24"/>
        </w:rPr>
      </w:pPr>
      <w:r>
        <w:rPr>
          <w:rFonts w:hint="eastAsia"/>
          <w:color w:val="000000"/>
          <w:sz w:val="24"/>
          <w:szCs w:val="24"/>
        </w:rPr>
        <w:t xml:space="preserve">    具体审核内容以招标人与中标人签订的工作确认资料为准。</w:t>
      </w:r>
    </w:p>
    <w:p>
      <w:pPr>
        <w:adjustRightInd w:val="0"/>
        <w:snapToGrid w:val="0"/>
        <w:spacing w:line="360" w:lineRule="auto"/>
        <w:ind w:firstLine="560"/>
        <w:rPr>
          <w:color w:val="000000"/>
          <w:sz w:val="24"/>
          <w:szCs w:val="24"/>
        </w:rPr>
      </w:pPr>
      <w:r>
        <w:rPr>
          <w:rFonts w:hint="eastAsia"/>
          <w:color w:val="000000"/>
          <w:sz w:val="24"/>
          <w:szCs w:val="24"/>
        </w:rPr>
        <w:t>五、报价说明</w:t>
      </w:r>
    </w:p>
    <w:p>
      <w:pPr>
        <w:adjustRightInd w:val="0"/>
        <w:snapToGrid w:val="0"/>
        <w:spacing w:line="360" w:lineRule="auto"/>
        <w:ind w:firstLine="560"/>
        <w:rPr>
          <w:sz w:val="24"/>
          <w:szCs w:val="24"/>
        </w:rPr>
      </w:pPr>
      <w:r>
        <w:rPr>
          <w:rFonts w:hint="eastAsia"/>
          <w:color w:val="000000"/>
          <w:sz w:val="24"/>
          <w:szCs w:val="24"/>
        </w:rPr>
        <w:t>工程预算编制费按编制工程预算价的千分比计取费用，</w:t>
      </w:r>
      <w:r>
        <w:rPr>
          <w:rFonts w:hint="eastAsia"/>
          <w:sz w:val="24"/>
          <w:szCs w:val="24"/>
        </w:rPr>
        <w:t>无基本费、其他费用不计。</w:t>
      </w:r>
    </w:p>
    <w:p>
      <w:pPr>
        <w:adjustRightInd w:val="0"/>
        <w:snapToGrid w:val="0"/>
        <w:spacing w:line="360" w:lineRule="auto"/>
        <w:ind w:firstLine="560"/>
        <w:rPr>
          <w:color w:val="000000"/>
          <w:sz w:val="24"/>
          <w:szCs w:val="24"/>
        </w:rPr>
      </w:pPr>
      <w:r>
        <w:rPr>
          <w:rFonts w:hint="eastAsia"/>
          <w:color w:val="000000"/>
          <w:sz w:val="24"/>
          <w:szCs w:val="24"/>
        </w:rPr>
        <w:t>工程结算一审审核费用按工程造价审减额（工程造价审减额=承建方上报结算价-初审造价）的百分比计取，无基本费、其他费用不计；复审结算审核费用按工程造价审减额（工程造价审减额=一审造价-审定造价）的百分比计取，无基本费、其他费用不计。</w:t>
      </w:r>
    </w:p>
    <w:p>
      <w:pPr>
        <w:adjustRightInd w:val="0"/>
        <w:snapToGrid w:val="0"/>
        <w:spacing w:line="360" w:lineRule="auto"/>
        <w:ind w:firstLine="560"/>
        <w:rPr>
          <w:color w:val="000000"/>
          <w:sz w:val="24"/>
          <w:szCs w:val="24"/>
        </w:rPr>
      </w:pPr>
      <w:r>
        <w:rPr>
          <w:rFonts w:hint="eastAsia"/>
          <w:color w:val="000000"/>
          <w:sz w:val="24"/>
          <w:szCs w:val="24"/>
        </w:rPr>
        <w:t>六、报价方式</w:t>
      </w:r>
    </w:p>
    <w:p>
      <w:pPr>
        <w:adjustRightInd w:val="0"/>
        <w:snapToGrid w:val="0"/>
        <w:spacing w:line="360" w:lineRule="auto"/>
        <w:ind w:firstLine="480" w:firstLineChars="200"/>
        <w:rPr>
          <w:bCs/>
          <w:color w:val="000000"/>
          <w:sz w:val="24"/>
          <w:szCs w:val="24"/>
        </w:rPr>
      </w:pPr>
      <w:r>
        <w:rPr>
          <w:rFonts w:hint="eastAsia"/>
          <w:bCs/>
          <w:color w:val="000000"/>
          <w:sz w:val="24"/>
          <w:szCs w:val="24"/>
        </w:rPr>
        <w:t>投标人按照招标人提供的招标文件，并充分考虑：</w:t>
      </w:r>
    </w:p>
    <w:p>
      <w:pPr>
        <w:adjustRightInd w:val="0"/>
        <w:snapToGrid w:val="0"/>
        <w:spacing w:line="360" w:lineRule="auto"/>
        <w:ind w:firstLine="480" w:firstLineChars="200"/>
        <w:rPr>
          <w:bCs/>
          <w:color w:val="000000"/>
          <w:sz w:val="24"/>
          <w:szCs w:val="24"/>
        </w:rPr>
      </w:pPr>
      <w:r>
        <w:rPr>
          <w:rFonts w:hint="eastAsia"/>
          <w:bCs/>
          <w:color w:val="000000"/>
          <w:sz w:val="24"/>
          <w:szCs w:val="24"/>
        </w:rPr>
        <w:t>1、预算编制、结算审核、转交资料过程中发生的如差旅费等其他费用，由中标人自理；</w:t>
      </w:r>
    </w:p>
    <w:p>
      <w:pPr>
        <w:adjustRightInd w:val="0"/>
        <w:snapToGrid w:val="0"/>
        <w:spacing w:line="360" w:lineRule="auto"/>
        <w:rPr>
          <w:bCs/>
          <w:color w:val="000000"/>
          <w:sz w:val="24"/>
          <w:szCs w:val="24"/>
        </w:rPr>
      </w:pPr>
      <w:r>
        <w:rPr>
          <w:rFonts w:hint="eastAsia"/>
          <w:bCs/>
          <w:color w:val="000000"/>
          <w:sz w:val="24"/>
          <w:szCs w:val="24"/>
        </w:rPr>
        <w:t xml:space="preserve">    2、如果中标人需要到新兴铸管芜湖工业区与其交换意见，由此所发生的差旅费等由中标人自理。</w:t>
      </w:r>
    </w:p>
    <w:p>
      <w:pPr>
        <w:adjustRightInd w:val="0"/>
        <w:snapToGrid w:val="0"/>
        <w:spacing w:line="360" w:lineRule="auto"/>
        <w:ind w:firstLine="480" w:firstLineChars="200"/>
        <w:rPr>
          <w:b/>
          <w:color w:val="000000"/>
          <w:sz w:val="24"/>
          <w:szCs w:val="24"/>
        </w:rPr>
      </w:pPr>
      <w:r>
        <w:rPr>
          <w:rFonts w:hint="eastAsia"/>
          <w:bCs/>
          <w:color w:val="000000"/>
          <w:sz w:val="24"/>
          <w:szCs w:val="24"/>
        </w:rPr>
        <w:t>综合以上因素，并根据本单位成本进行合理报价。</w:t>
      </w:r>
    </w:p>
    <w:p/>
    <w:p/>
    <w:p>
      <w:pPr>
        <w:pStyle w:val="5"/>
        <w:rPr>
          <w:color w:val="000000"/>
          <w:sz w:val="36"/>
          <w:szCs w:val="36"/>
        </w:rPr>
      </w:pPr>
      <w:bookmarkStart w:id="1" w:name="_Toc435450491"/>
      <w:r>
        <w:rPr>
          <w:rFonts w:hint="eastAsia"/>
          <w:color w:val="000000"/>
          <w:sz w:val="30"/>
          <w:szCs w:val="30"/>
        </w:rPr>
        <w:t>附件二</w:t>
      </w:r>
      <w:r>
        <w:rPr>
          <w:rFonts w:hint="eastAsia"/>
          <w:color w:val="000000"/>
          <w:sz w:val="36"/>
          <w:szCs w:val="36"/>
        </w:rPr>
        <w:t xml:space="preserve">         </w:t>
      </w:r>
    </w:p>
    <w:p>
      <w:pPr>
        <w:pStyle w:val="5"/>
        <w:ind w:firstLine="866" w:firstLineChars="196"/>
        <w:jc w:val="center"/>
        <w:rPr>
          <w:color w:val="000000"/>
          <w:sz w:val="36"/>
          <w:szCs w:val="36"/>
        </w:rPr>
      </w:pPr>
      <w:r>
        <w:rPr>
          <w:rFonts w:hint="eastAsia"/>
          <w:color w:val="000000"/>
        </w:rPr>
        <w:t>投   标   书（样本）</w:t>
      </w:r>
      <w:bookmarkEnd w:id="1"/>
    </w:p>
    <w:p>
      <w:pPr>
        <w:adjustRightInd w:val="0"/>
        <w:snapToGrid w:val="0"/>
        <w:jc w:val="center"/>
        <w:rPr>
          <w:b/>
          <w:bCs/>
          <w:color w:val="000000"/>
          <w:sz w:val="28"/>
          <w:szCs w:val="28"/>
        </w:rPr>
      </w:pPr>
    </w:p>
    <w:p>
      <w:pPr>
        <w:adjustRightInd w:val="0"/>
        <w:snapToGrid w:val="0"/>
        <w:spacing w:line="360" w:lineRule="auto"/>
        <w:rPr>
          <w:b/>
          <w:bCs/>
          <w:color w:val="000000"/>
          <w:sz w:val="28"/>
        </w:rPr>
      </w:pPr>
      <w:r>
        <w:rPr>
          <w:rFonts w:hint="eastAsia"/>
          <w:b/>
          <w:bCs/>
          <w:color w:val="000000"/>
          <w:sz w:val="28"/>
        </w:rPr>
        <w:t>致：芜湖新兴铸管有限责任公司：</w:t>
      </w:r>
    </w:p>
    <w:p>
      <w:pPr>
        <w:adjustRightInd w:val="0"/>
        <w:snapToGrid w:val="0"/>
        <w:spacing w:line="360" w:lineRule="auto"/>
        <w:ind w:firstLine="570"/>
        <w:rPr>
          <w:color w:val="000000"/>
          <w:sz w:val="28"/>
        </w:rPr>
      </w:pPr>
      <w:r>
        <w:rPr>
          <w:rFonts w:hint="eastAsia"/>
          <w:color w:val="000000"/>
          <w:sz w:val="28"/>
        </w:rPr>
        <w:t>我公司正式授权投标代表</w:t>
      </w:r>
      <w:r>
        <w:rPr>
          <w:rFonts w:hint="eastAsia"/>
          <w:color w:val="000000"/>
          <w:sz w:val="28"/>
          <w:u w:val="single"/>
        </w:rPr>
        <w:t xml:space="preserve">                 </w:t>
      </w:r>
      <w:r>
        <w:rPr>
          <w:rFonts w:hint="eastAsia"/>
          <w:color w:val="000000"/>
          <w:sz w:val="28"/>
        </w:rPr>
        <w:t>职务</w:t>
      </w:r>
      <w:r>
        <w:rPr>
          <w:rFonts w:hint="eastAsia"/>
          <w:color w:val="000000"/>
          <w:sz w:val="28"/>
          <w:u w:val="single"/>
        </w:rPr>
        <w:t xml:space="preserve">            </w:t>
      </w:r>
      <w:r>
        <w:rPr>
          <w:rFonts w:hint="eastAsia"/>
          <w:color w:val="000000"/>
          <w:sz w:val="28"/>
        </w:rPr>
        <w:t>。</w:t>
      </w:r>
    </w:p>
    <w:p>
      <w:pPr>
        <w:adjustRightInd w:val="0"/>
        <w:snapToGrid w:val="0"/>
        <w:spacing w:line="360" w:lineRule="auto"/>
        <w:rPr>
          <w:color w:val="000000"/>
          <w:sz w:val="28"/>
        </w:rPr>
      </w:pPr>
      <w:r>
        <w:rPr>
          <w:rFonts w:hint="eastAsia"/>
          <w:color w:val="000000"/>
          <w:sz w:val="28"/>
        </w:rPr>
        <w:t>1、提交下述文件，装袋密封，一式两份。</w:t>
      </w:r>
    </w:p>
    <w:p>
      <w:pPr>
        <w:adjustRightInd w:val="0"/>
        <w:snapToGrid w:val="0"/>
        <w:spacing w:line="360" w:lineRule="auto"/>
        <w:ind w:firstLine="570"/>
        <w:rPr>
          <w:color w:val="000000"/>
          <w:sz w:val="28"/>
        </w:rPr>
      </w:pPr>
      <w:r>
        <w:rPr>
          <w:rFonts w:hint="eastAsia"/>
          <w:color w:val="000000"/>
          <w:sz w:val="28"/>
        </w:rPr>
        <w:t>（1）投标报价单。</w:t>
      </w:r>
    </w:p>
    <w:p>
      <w:pPr>
        <w:adjustRightInd w:val="0"/>
        <w:snapToGrid w:val="0"/>
        <w:spacing w:line="360" w:lineRule="auto"/>
        <w:ind w:firstLine="570"/>
        <w:rPr>
          <w:color w:val="000000"/>
          <w:sz w:val="28"/>
        </w:rPr>
      </w:pPr>
      <w:r>
        <w:rPr>
          <w:rFonts w:hint="eastAsia"/>
          <w:color w:val="000000"/>
          <w:sz w:val="28"/>
        </w:rPr>
        <w:t>（2）企业简介，营业执照，税务登记证。</w:t>
      </w:r>
    </w:p>
    <w:p>
      <w:pPr>
        <w:adjustRightInd w:val="0"/>
        <w:snapToGrid w:val="0"/>
        <w:spacing w:line="360" w:lineRule="auto"/>
        <w:ind w:firstLine="570"/>
        <w:rPr>
          <w:color w:val="000000"/>
          <w:sz w:val="28"/>
        </w:rPr>
      </w:pPr>
      <w:r>
        <w:rPr>
          <w:rFonts w:hint="eastAsia"/>
          <w:color w:val="000000"/>
          <w:sz w:val="28"/>
        </w:rPr>
        <w:t>（3）工程造价审核人员配备情况，以及拟派本项目人员名单（附表）。</w:t>
      </w:r>
    </w:p>
    <w:p>
      <w:pPr>
        <w:adjustRightInd w:val="0"/>
        <w:snapToGrid w:val="0"/>
        <w:spacing w:line="360" w:lineRule="auto"/>
        <w:ind w:firstLine="570"/>
        <w:rPr>
          <w:color w:val="000000"/>
          <w:sz w:val="28"/>
        </w:rPr>
      </w:pPr>
      <w:r>
        <w:rPr>
          <w:rFonts w:hint="eastAsia"/>
          <w:color w:val="000000"/>
          <w:sz w:val="28"/>
        </w:rPr>
        <w:t>（4）保证工程造价审核进度及质量的主要措施。</w:t>
      </w:r>
    </w:p>
    <w:p>
      <w:pPr>
        <w:adjustRightInd w:val="0"/>
        <w:snapToGrid w:val="0"/>
        <w:spacing w:line="360" w:lineRule="auto"/>
        <w:ind w:firstLine="570"/>
        <w:rPr>
          <w:color w:val="000000"/>
          <w:sz w:val="28"/>
        </w:rPr>
      </w:pPr>
      <w:r>
        <w:rPr>
          <w:rFonts w:hint="eastAsia"/>
          <w:color w:val="000000"/>
          <w:sz w:val="28"/>
        </w:rPr>
        <w:t>（5）近二年类似工程造价审核业绩，及相关证明。</w:t>
      </w:r>
    </w:p>
    <w:p>
      <w:pPr>
        <w:adjustRightInd w:val="0"/>
        <w:snapToGrid w:val="0"/>
        <w:spacing w:line="360" w:lineRule="auto"/>
        <w:rPr>
          <w:color w:val="000000"/>
          <w:sz w:val="28"/>
        </w:rPr>
      </w:pPr>
      <w:r>
        <w:rPr>
          <w:rFonts w:hint="eastAsia"/>
          <w:color w:val="000000"/>
          <w:sz w:val="28"/>
        </w:rPr>
        <w:t>2、投标代表承诺应尽义务如下。</w:t>
      </w:r>
    </w:p>
    <w:p>
      <w:pPr>
        <w:adjustRightInd w:val="0"/>
        <w:snapToGrid w:val="0"/>
        <w:spacing w:line="360" w:lineRule="auto"/>
        <w:ind w:firstLine="573"/>
        <w:rPr>
          <w:color w:val="000000"/>
          <w:sz w:val="28"/>
        </w:rPr>
      </w:pPr>
      <w:r>
        <w:rPr>
          <w:rFonts w:hint="eastAsia"/>
          <w:color w:val="000000"/>
          <w:sz w:val="28"/>
        </w:rPr>
        <w:t>（1）投标人已详细阅读全部招标文件和有关附件。</w:t>
      </w:r>
    </w:p>
    <w:p>
      <w:pPr>
        <w:adjustRightInd w:val="0"/>
        <w:snapToGrid w:val="0"/>
        <w:spacing w:line="360" w:lineRule="auto"/>
        <w:ind w:firstLine="573"/>
        <w:rPr>
          <w:color w:val="000000"/>
          <w:sz w:val="28"/>
        </w:rPr>
      </w:pPr>
      <w:r>
        <w:rPr>
          <w:rFonts w:hint="eastAsia"/>
          <w:color w:val="000000"/>
          <w:sz w:val="28"/>
        </w:rPr>
        <w:t>（2）投标人将按投标文件的规定履行合同责任和义务。</w:t>
      </w:r>
    </w:p>
    <w:p>
      <w:pPr>
        <w:adjustRightInd w:val="0"/>
        <w:snapToGrid w:val="0"/>
        <w:spacing w:line="360" w:lineRule="auto"/>
        <w:ind w:firstLine="573"/>
        <w:rPr>
          <w:color w:val="000000"/>
          <w:sz w:val="28"/>
        </w:rPr>
      </w:pPr>
      <w:r>
        <w:rPr>
          <w:rFonts w:hint="eastAsia"/>
          <w:color w:val="000000"/>
          <w:sz w:val="28"/>
        </w:rPr>
        <w:t>（3）投标人已明确招标书中所列的应提供的文件要求。</w:t>
      </w:r>
    </w:p>
    <w:p>
      <w:pPr>
        <w:adjustRightInd w:val="0"/>
        <w:snapToGrid w:val="0"/>
        <w:spacing w:line="360" w:lineRule="auto"/>
        <w:ind w:firstLine="573"/>
        <w:rPr>
          <w:color w:val="000000"/>
          <w:sz w:val="28"/>
        </w:rPr>
      </w:pPr>
      <w:r>
        <w:rPr>
          <w:rFonts w:hint="eastAsia"/>
          <w:color w:val="000000"/>
          <w:sz w:val="28"/>
        </w:rPr>
        <w:t>（4）投标人同意提供与其投标有关的一切数字或资料。</w:t>
      </w:r>
    </w:p>
    <w:p>
      <w:pPr>
        <w:adjustRightInd w:val="0"/>
        <w:snapToGrid w:val="0"/>
        <w:spacing w:line="360" w:lineRule="auto"/>
        <w:rPr>
          <w:color w:val="000000"/>
          <w:sz w:val="28"/>
        </w:rPr>
      </w:pPr>
      <w:r>
        <w:rPr>
          <w:rFonts w:hint="eastAsia"/>
          <w:color w:val="000000"/>
          <w:sz w:val="28"/>
        </w:rPr>
        <w:t>3、与本投标有关的一切正式往来通讯请寄：</w:t>
      </w:r>
    </w:p>
    <w:p>
      <w:pPr>
        <w:adjustRightInd w:val="0"/>
        <w:snapToGrid w:val="0"/>
        <w:spacing w:line="360" w:lineRule="auto"/>
        <w:ind w:firstLine="540"/>
        <w:rPr>
          <w:color w:val="000000"/>
          <w:sz w:val="28"/>
          <w:u w:val="single"/>
        </w:rPr>
      </w:pPr>
      <w:r>
        <w:rPr>
          <w:rFonts w:hint="eastAsia"/>
          <w:color w:val="000000"/>
          <w:sz w:val="28"/>
        </w:rPr>
        <w:t xml:space="preserve">投标单位名称： </w:t>
      </w:r>
      <w:r>
        <w:rPr>
          <w:rFonts w:hint="eastAsia"/>
          <w:color w:val="000000"/>
          <w:sz w:val="28"/>
          <w:u w:val="single"/>
        </w:rPr>
        <w:t xml:space="preserve">              </w:t>
      </w:r>
      <w:r>
        <w:rPr>
          <w:rFonts w:hint="eastAsia"/>
          <w:color w:val="000000"/>
          <w:sz w:val="28"/>
        </w:rPr>
        <w:t xml:space="preserve">  地   址：</w:t>
      </w:r>
      <w:r>
        <w:rPr>
          <w:rFonts w:hint="eastAsia"/>
          <w:color w:val="000000"/>
          <w:sz w:val="28"/>
          <w:u w:val="single"/>
        </w:rPr>
        <w:t xml:space="preserve">              </w:t>
      </w:r>
    </w:p>
    <w:p>
      <w:pPr>
        <w:adjustRightInd w:val="0"/>
        <w:snapToGrid w:val="0"/>
        <w:spacing w:line="360" w:lineRule="auto"/>
        <w:ind w:firstLine="568" w:firstLineChars="203"/>
        <w:rPr>
          <w:color w:val="000000"/>
          <w:sz w:val="28"/>
          <w:u w:val="single"/>
        </w:rPr>
      </w:pPr>
      <w:r>
        <w:rPr>
          <w:rFonts w:hint="eastAsia"/>
          <w:color w:val="000000"/>
          <w:sz w:val="28"/>
        </w:rPr>
        <w:t xml:space="preserve">投标代表姓名： </w:t>
      </w:r>
      <w:r>
        <w:rPr>
          <w:rFonts w:hint="eastAsia"/>
          <w:color w:val="000000"/>
          <w:sz w:val="28"/>
          <w:u w:val="single"/>
        </w:rPr>
        <w:t xml:space="preserve">              </w:t>
      </w:r>
      <w:r>
        <w:rPr>
          <w:rFonts w:hint="eastAsia"/>
          <w:color w:val="000000"/>
          <w:sz w:val="28"/>
        </w:rPr>
        <w:t xml:space="preserve">  电   话：</w:t>
      </w:r>
      <w:r>
        <w:rPr>
          <w:rFonts w:hint="eastAsia"/>
          <w:color w:val="000000"/>
          <w:sz w:val="28"/>
          <w:u w:val="single"/>
        </w:rPr>
        <w:t xml:space="preserve">              </w:t>
      </w:r>
    </w:p>
    <w:p>
      <w:pPr>
        <w:adjustRightInd w:val="0"/>
        <w:snapToGrid w:val="0"/>
        <w:spacing w:line="360" w:lineRule="auto"/>
        <w:ind w:firstLine="540"/>
        <w:rPr>
          <w:color w:val="000000"/>
          <w:sz w:val="28"/>
          <w:u w:val="single"/>
        </w:rPr>
      </w:pPr>
      <w:r>
        <w:rPr>
          <w:rFonts w:hint="eastAsia"/>
          <w:color w:val="000000"/>
          <w:sz w:val="28"/>
        </w:rPr>
        <w:t xml:space="preserve">投标代表签字： </w:t>
      </w:r>
      <w:r>
        <w:rPr>
          <w:rFonts w:hint="eastAsia"/>
          <w:color w:val="000000"/>
          <w:sz w:val="28"/>
          <w:u w:val="single"/>
        </w:rPr>
        <w:t xml:space="preserve">              </w:t>
      </w:r>
      <w:r>
        <w:rPr>
          <w:rFonts w:hint="eastAsia"/>
          <w:color w:val="000000"/>
          <w:sz w:val="28"/>
        </w:rPr>
        <w:t xml:space="preserve">  传   真：</w:t>
      </w:r>
      <w:r>
        <w:rPr>
          <w:rFonts w:hint="eastAsia"/>
          <w:color w:val="000000"/>
          <w:sz w:val="28"/>
          <w:u w:val="single"/>
        </w:rPr>
        <w:t xml:space="preserve">              </w:t>
      </w:r>
    </w:p>
    <w:p>
      <w:pPr>
        <w:adjustRightInd w:val="0"/>
        <w:snapToGrid w:val="0"/>
        <w:spacing w:line="360" w:lineRule="auto"/>
        <w:ind w:firstLine="540"/>
        <w:rPr>
          <w:color w:val="000000"/>
          <w:sz w:val="28"/>
          <w:u w:val="single"/>
        </w:rPr>
      </w:pPr>
      <w:r>
        <w:rPr>
          <w:rFonts w:hint="eastAsia"/>
          <w:color w:val="000000"/>
          <w:sz w:val="28"/>
        </w:rPr>
        <w:t xml:space="preserve">投标单位公章： </w:t>
      </w:r>
      <w:r>
        <w:rPr>
          <w:rFonts w:hint="eastAsia"/>
          <w:color w:val="000000"/>
          <w:sz w:val="28"/>
          <w:u w:val="single"/>
        </w:rPr>
        <w:t xml:space="preserve">              </w:t>
      </w:r>
      <w:r>
        <w:rPr>
          <w:rFonts w:hint="eastAsia"/>
          <w:color w:val="000000"/>
          <w:sz w:val="28"/>
        </w:rPr>
        <w:t xml:space="preserve">  邮   编：</w:t>
      </w:r>
      <w:r>
        <w:rPr>
          <w:rFonts w:hint="eastAsia"/>
          <w:color w:val="000000"/>
          <w:sz w:val="28"/>
          <w:u w:val="single"/>
        </w:rPr>
        <w:t xml:space="preserve">              </w:t>
      </w:r>
    </w:p>
    <w:p>
      <w:pPr>
        <w:adjustRightInd w:val="0"/>
        <w:snapToGrid w:val="0"/>
        <w:spacing w:line="360" w:lineRule="auto"/>
        <w:ind w:firstLine="573"/>
        <w:rPr>
          <w:color w:val="000000"/>
          <w:sz w:val="28"/>
        </w:rPr>
      </w:pPr>
      <w:r>
        <w:rPr>
          <w:rFonts w:hint="eastAsia"/>
          <w:color w:val="000000"/>
          <w:sz w:val="28"/>
        </w:rPr>
        <w:t xml:space="preserve">                                 </w:t>
      </w:r>
    </w:p>
    <w:p>
      <w:pPr>
        <w:adjustRightInd w:val="0"/>
        <w:snapToGrid w:val="0"/>
        <w:spacing w:line="360" w:lineRule="auto"/>
        <w:ind w:firstLine="5745" w:firstLineChars="2052"/>
        <w:rPr>
          <w:color w:val="000000"/>
          <w:sz w:val="28"/>
        </w:rPr>
      </w:pPr>
      <w:r>
        <w:rPr>
          <w:rFonts w:hint="eastAsia"/>
          <w:color w:val="000000"/>
          <w:sz w:val="28"/>
        </w:rPr>
        <w:t>202</w:t>
      </w:r>
      <w:r>
        <w:rPr>
          <w:rFonts w:hint="eastAsia"/>
          <w:sz w:val="28"/>
        </w:rPr>
        <w:t>2</w:t>
      </w:r>
      <w:r>
        <w:rPr>
          <w:rFonts w:hint="eastAsia"/>
          <w:color w:val="000000"/>
          <w:sz w:val="28"/>
        </w:rPr>
        <w:t>年</w:t>
      </w:r>
      <w:r>
        <w:rPr>
          <w:rFonts w:hint="eastAsia"/>
          <w:color w:val="000000"/>
          <w:sz w:val="28"/>
          <w:u w:val="single"/>
        </w:rPr>
        <w:t xml:space="preserve">    </w:t>
      </w:r>
      <w:r>
        <w:rPr>
          <w:rFonts w:hint="eastAsia"/>
          <w:color w:val="000000"/>
          <w:sz w:val="28"/>
        </w:rPr>
        <w:t>月</w:t>
      </w:r>
      <w:r>
        <w:rPr>
          <w:rFonts w:hint="eastAsia"/>
          <w:color w:val="000000"/>
          <w:sz w:val="28"/>
          <w:u w:val="single"/>
        </w:rPr>
        <w:t xml:space="preserve">    </w:t>
      </w:r>
      <w:r>
        <w:rPr>
          <w:rFonts w:hint="eastAsia"/>
          <w:color w:val="000000"/>
          <w:sz w:val="28"/>
        </w:rPr>
        <w:t xml:space="preserve">日 </w:t>
      </w:r>
    </w:p>
    <w:p/>
    <w:p/>
    <w:p>
      <w:pPr>
        <w:jc w:val="center"/>
        <w:rPr>
          <w:rFonts w:ascii="仿宋" w:hAnsi="仿宋" w:eastAsia="仿宋"/>
          <w:color w:val="000000"/>
          <w:kern w:val="0"/>
          <w:sz w:val="28"/>
          <w:szCs w:val="28"/>
          <w:u w:color="000000"/>
        </w:rPr>
      </w:pPr>
      <w:r>
        <w:rPr>
          <w:rFonts w:hint="eastAsia" w:ascii="仿宋" w:hAnsi="仿宋" w:eastAsia="仿宋"/>
          <w:b/>
          <w:bCs/>
          <w:color w:val="000000"/>
          <w:kern w:val="0"/>
          <w:sz w:val="28"/>
          <w:szCs w:val="28"/>
          <w:u w:color="000000"/>
        </w:rPr>
        <w:t>拟派本项目专业人员名单</w:t>
      </w:r>
    </w:p>
    <w:p>
      <w:pPr>
        <w:widowControl/>
        <w:spacing w:line="357" w:lineRule="atLeast"/>
        <w:jc w:val="center"/>
        <w:textAlignment w:val="baseline"/>
        <w:rPr>
          <w:rFonts w:eastAsia="仿宋_GB2312"/>
          <w:color w:val="000000"/>
          <w:kern w:val="0"/>
          <w:sz w:val="28"/>
          <w:szCs w:val="28"/>
          <w:u w:color="000000"/>
        </w:rPr>
      </w:pPr>
      <w:r>
        <w:rPr>
          <w:rFonts w:hint="eastAsia" w:eastAsia="仿宋_GB2312"/>
          <w:color w:val="000000"/>
          <w:kern w:val="0"/>
          <w:sz w:val="28"/>
          <w:szCs w:val="28"/>
          <w:u w:color="000000"/>
        </w:rPr>
        <w:t>（本页不够可自行添加）</w:t>
      </w:r>
    </w:p>
    <w:p>
      <w:pPr>
        <w:ind w:firstLine="560" w:firstLineChars="200"/>
        <w:rPr>
          <w:rFonts w:eastAsia="仿宋_GB2312"/>
          <w:b/>
          <w:sz w:val="28"/>
          <w:szCs w:val="28"/>
        </w:rPr>
      </w:pPr>
      <w:r>
        <w:rPr>
          <w:rFonts w:hint="eastAsia" w:ascii="仿宋" w:hAnsi="仿宋" w:eastAsia="仿宋"/>
          <w:sz w:val="28"/>
          <w:szCs w:val="28"/>
        </w:rPr>
        <w:t>投标人（盖章）：                                   填表日期：</w:t>
      </w:r>
    </w:p>
    <w:tbl>
      <w:tblPr>
        <w:tblStyle w:val="13"/>
        <w:tblW w:w="0" w:type="auto"/>
        <w:jc w:val="right"/>
        <w:tblLayout w:type="fixed"/>
        <w:tblCellMar>
          <w:top w:w="0" w:type="dxa"/>
          <w:left w:w="108" w:type="dxa"/>
          <w:bottom w:w="0" w:type="dxa"/>
          <w:right w:w="108" w:type="dxa"/>
        </w:tblCellMar>
      </w:tblPr>
      <w:tblGrid>
        <w:gridCol w:w="1384"/>
        <w:gridCol w:w="709"/>
        <w:gridCol w:w="992"/>
        <w:gridCol w:w="851"/>
        <w:gridCol w:w="790"/>
        <w:gridCol w:w="1323"/>
        <w:gridCol w:w="1404"/>
        <w:gridCol w:w="1727"/>
      </w:tblGrid>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人员姓名</w:t>
            </w:r>
          </w:p>
        </w:tc>
        <w:tc>
          <w:tcPr>
            <w:tcW w:w="709"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性别</w:t>
            </w:r>
          </w:p>
        </w:tc>
        <w:tc>
          <w:tcPr>
            <w:tcW w:w="992"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出生年月</w:t>
            </w:r>
          </w:p>
        </w:tc>
        <w:tc>
          <w:tcPr>
            <w:tcW w:w="851"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文化程度</w:t>
            </w:r>
          </w:p>
        </w:tc>
        <w:tc>
          <w:tcPr>
            <w:tcW w:w="790"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执业资格</w:t>
            </w:r>
          </w:p>
        </w:tc>
        <w:tc>
          <w:tcPr>
            <w:tcW w:w="1323"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专业技术职称</w:t>
            </w:r>
          </w:p>
        </w:tc>
        <w:tc>
          <w:tcPr>
            <w:tcW w:w="1404"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从事造价审计年限</w:t>
            </w:r>
          </w:p>
        </w:tc>
        <w:tc>
          <w:tcPr>
            <w:tcW w:w="1727" w:type="dxa"/>
            <w:tcBorders>
              <w:top w:val="single" w:color="auto" w:sz="4" w:space="0"/>
              <w:left w:val="nil"/>
              <w:bottom w:val="single" w:color="auto" w:sz="4" w:space="0"/>
              <w:right w:val="single" w:color="auto" w:sz="4" w:space="0"/>
            </w:tcBorders>
            <w:vAlign w:val="center"/>
          </w:tcPr>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从事专业</w:t>
            </w: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09"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992"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851"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790"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323"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404"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c>
          <w:tcPr>
            <w:tcW w:w="1727" w:type="dxa"/>
            <w:tcBorders>
              <w:top w:val="single" w:color="auto" w:sz="4" w:space="0"/>
              <w:left w:val="nil"/>
              <w:bottom w:val="single" w:color="auto" w:sz="4" w:space="0"/>
              <w:right w:val="single" w:color="auto" w:sz="4" w:space="0"/>
            </w:tcBorders>
          </w:tcPr>
          <w:p>
            <w:pPr>
              <w:widowControl/>
              <w:spacing w:line="357" w:lineRule="atLeast"/>
              <w:textAlignment w:val="baseline"/>
              <w:rPr>
                <w:rFonts w:eastAsia="仿宋_GB2312"/>
                <w:color w:val="000000"/>
                <w:kern w:val="0"/>
                <w:sz w:val="28"/>
                <w:szCs w:val="28"/>
                <w:u w:color="000000"/>
              </w:rPr>
            </w:pPr>
          </w:p>
        </w:tc>
      </w:tr>
    </w:tbl>
    <w:p>
      <w:pPr>
        <w:widowControl/>
        <w:spacing w:line="357" w:lineRule="atLeast"/>
        <w:textAlignment w:val="baseline"/>
        <w:rPr>
          <w:rFonts w:ascii="仿宋" w:hAnsi="仿宋" w:eastAsia="仿宋"/>
          <w:color w:val="000000"/>
          <w:kern w:val="0"/>
          <w:sz w:val="28"/>
          <w:szCs w:val="28"/>
          <w:u w:color="000000"/>
        </w:rPr>
      </w:pPr>
      <w:r>
        <w:rPr>
          <w:rFonts w:hint="eastAsia" w:ascii="仿宋" w:hAnsi="仿宋" w:eastAsia="仿宋"/>
          <w:color w:val="000000"/>
          <w:kern w:val="0"/>
          <w:sz w:val="28"/>
          <w:szCs w:val="28"/>
          <w:u w:color="000000"/>
        </w:rPr>
        <w:t>注：上述人员须提供身份证、毕业证、造价师资格证、造价师注册证、职称证复印件并加盖公章。</w:t>
      </w:r>
    </w:p>
    <w:p>
      <w:pPr>
        <w:pStyle w:val="5"/>
        <w:rPr>
          <w:color w:val="000000"/>
          <w:sz w:val="36"/>
          <w:szCs w:val="36"/>
        </w:rPr>
      </w:pPr>
      <w:bookmarkStart w:id="2" w:name="_Toc435450492"/>
      <w:r>
        <w:rPr>
          <w:rFonts w:hint="eastAsia"/>
          <w:color w:val="000000"/>
          <w:sz w:val="30"/>
          <w:szCs w:val="30"/>
        </w:rPr>
        <w:t>附件三</w:t>
      </w:r>
      <w:r>
        <w:rPr>
          <w:rFonts w:hint="eastAsia"/>
          <w:color w:val="000000"/>
          <w:sz w:val="36"/>
          <w:szCs w:val="36"/>
        </w:rPr>
        <w:t xml:space="preserve">       </w:t>
      </w:r>
    </w:p>
    <w:p>
      <w:pPr>
        <w:pStyle w:val="5"/>
        <w:ind w:firstLine="883" w:firstLineChars="200"/>
        <w:rPr>
          <w:color w:val="000000"/>
          <w:sz w:val="36"/>
          <w:szCs w:val="36"/>
        </w:rPr>
      </w:pPr>
      <w:r>
        <w:rPr>
          <w:rFonts w:hint="eastAsia"/>
          <w:color w:val="000000"/>
        </w:rPr>
        <w:t>工程预算编制、结算造价审核报价单</w:t>
      </w:r>
      <w:bookmarkEnd w:id="2"/>
    </w:p>
    <w:tbl>
      <w:tblPr>
        <w:tblStyle w:val="13"/>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jc w:val="center"/>
              <w:rPr>
                <w:b/>
                <w:color w:val="000000"/>
                <w:sz w:val="32"/>
                <w:szCs w:val="32"/>
              </w:rPr>
            </w:pPr>
            <w:r>
              <w:rPr>
                <w:rFonts w:hint="eastAsia"/>
                <w:b/>
                <w:color w:val="000000"/>
                <w:sz w:val="32"/>
                <w:szCs w:val="32"/>
              </w:rPr>
              <w:t>序号</w:t>
            </w:r>
          </w:p>
        </w:tc>
        <w:tc>
          <w:tcPr>
            <w:tcW w:w="8696" w:type="dxa"/>
          </w:tcPr>
          <w:p>
            <w:pPr>
              <w:jc w:val="center"/>
              <w:rPr>
                <w:color w:val="000000"/>
                <w:sz w:val="28"/>
                <w:szCs w:val="28"/>
              </w:rPr>
            </w:pPr>
            <w:r>
              <w:rPr>
                <w:rFonts w:hint="eastAsia"/>
                <w:color w:val="000000"/>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0" w:type="dxa"/>
            <w:vAlign w:val="center"/>
          </w:tcPr>
          <w:p>
            <w:pPr>
              <w:jc w:val="center"/>
              <w:rPr>
                <w:color w:val="000000"/>
                <w:sz w:val="28"/>
                <w:szCs w:val="28"/>
              </w:rPr>
            </w:pPr>
            <w:r>
              <w:rPr>
                <w:rFonts w:hint="eastAsia"/>
                <w:color w:val="000000"/>
                <w:sz w:val="28"/>
                <w:szCs w:val="28"/>
              </w:rPr>
              <w:t>编制预算</w:t>
            </w:r>
          </w:p>
        </w:tc>
        <w:tc>
          <w:tcPr>
            <w:tcW w:w="8696" w:type="dxa"/>
            <w:vAlign w:val="center"/>
          </w:tcPr>
          <w:p>
            <w:pPr>
              <w:rPr>
                <w:color w:val="000000"/>
                <w:sz w:val="28"/>
                <w:szCs w:val="28"/>
              </w:rPr>
            </w:pPr>
            <w:r>
              <w:rPr>
                <w:rFonts w:hint="eastAsia"/>
                <w:color w:val="000000"/>
                <w:sz w:val="28"/>
                <w:szCs w:val="28"/>
              </w:rPr>
              <w:t>工程预算编制费用按编制工程预算价的（   ）‰计取，其他费用不计。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color w:val="000000"/>
                <w:sz w:val="28"/>
                <w:szCs w:val="28"/>
              </w:rPr>
            </w:pPr>
            <w:r>
              <w:rPr>
                <w:rFonts w:hint="eastAsia"/>
                <w:color w:val="000000"/>
                <w:sz w:val="28"/>
                <w:szCs w:val="28"/>
              </w:rPr>
              <w:t>一审</w:t>
            </w:r>
          </w:p>
        </w:tc>
        <w:tc>
          <w:tcPr>
            <w:tcW w:w="8696" w:type="dxa"/>
            <w:vAlign w:val="center"/>
          </w:tcPr>
          <w:p>
            <w:pPr>
              <w:rPr>
                <w:color w:val="000000"/>
                <w:sz w:val="28"/>
                <w:szCs w:val="28"/>
                <w:u w:val="single"/>
              </w:rPr>
            </w:pPr>
            <w:r>
              <w:rPr>
                <w:rFonts w:hint="eastAsia"/>
                <w:color w:val="000000"/>
                <w:sz w:val="28"/>
                <w:szCs w:val="28"/>
              </w:rPr>
              <w:t>工程结算审核费用按工程造价审减额（工程造价审减额=承建方上报结算价-初审造价）的（    ）%计取，其他费用不计。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jc w:val="center"/>
              <w:rPr>
                <w:color w:val="000000"/>
                <w:sz w:val="28"/>
                <w:szCs w:val="28"/>
              </w:rPr>
            </w:pPr>
            <w:r>
              <w:rPr>
                <w:rFonts w:hint="eastAsia"/>
                <w:color w:val="000000"/>
                <w:sz w:val="28"/>
                <w:szCs w:val="28"/>
              </w:rPr>
              <w:t>复审</w:t>
            </w:r>
          </w:p>
        </w:tc>
        <w:tc>
          <w:tcPr>
            <w:tcW w:w="8696" w:type="dxa"/>
          </w:tcPr>
          <w:p>
            <w:pPr>
              <w:rPr>
                <w:color w:val="000000"/>
                <w:sz w:val="28"/>
                <w:szCs w:val="28"/>
              </w:rPr>
            </w:pPr>
            <w:r>
              <w:rPr>
                <w:rFonts w:hint="eastAsia"/>
                <w:color w:val="000000"/>
                <w:sz w:val="28"/>
                <w:szCs w:val="28"/>
              </w:rPr>
              <w:t>工程结算审核费用按工程造价审减额（工程造价审减额=一审造价-审定造价）的（    ）%计取，其他费用不计。</w:t>
            </w:r>
          </w:p>
        </w:tc>
      </w:tr>
    </w:tbl>
    <w:p>
      <w:pPr>
        <w:rPr>
          <w:color w:val="000000"/>
          <w:sz w:val="28"/>
          <w:szCs w:val="28"/>
        </w:rPr>
      </w:pPr>
      <w:r>
        <w:rPr>
          <w:rFonts w:hint="eastAsia"/>
          <w:color w:val="000000"/>
          <w:sz w:val="28"/>
          <w:szCs w:val="28"/>
        </w:rPr>
        <w:t>以上报价均为含税价</w:t>
      </w:r>
    </w:p>
    <w:p>
      <w:pPr>
        <w:pStyle w:val="18"/>
        <w:widowControl/>
        <w:adjustRightInd w:val="0"/>
        <w:snapToGrid w:val="0"/>
        <w:spacing w:line="360" w:lineRule="auto"/>
        <w:ind w:left="360" w:firstLine="0" w:firstLineChars="0"/>
        <w:jc w:val="left"/>
        <w:rPr>
          <w:rFonts w:cs="宋体"/>
          <w:color w:val="000000"/>
          <w:kern w:val="0"/>
        </w:rPr>
      </w:pPr>
      <w:r>
        <w:rPr>
          <w:rFonts w:hint="eastAsia" w:cs="宋体"/>
          <w:color w:val="000000"/>
          <w:kern w:val="0"/>
        </w:rPr>
        <w:t>一审收费：</w:t>
      </w:r>
    </w:p>
    <w:p>
      <w:pPr>
        <w:pStyle w:val="18"/>
        <w:adjustRightInd w:val="0"/>
        <w:snapToGrid w:val="0"/>
        <w:spacing w:line="360" w:lineRule="auto"/>
        <w:ind w:left="360"/>
        <w:rPr>
          <w:rFonts w:cs="宋体"/>
          <w:color w:val="000000"/>
          <w:kern w:val="0"/>
        </w:rPr>
      </w:pPr>
      <w:r>
        <w:rPr>
          <w:rFonts w:hint="eastAsia" w:cs="宋体"/>
          <w:color w:val="000000"/>
          <w:kern w:val="0"/>
        </w:rPr>
        <w:t>工程结算审核费用计费依据是工程结算初审造价</w:t>
      </w:r>
      <w:r>
        <w:rPr>
          <w:rFonts w:hint="eastAsia"/>
        </w:rPr>
        <w:t>（初审造价为中标人与承建方经过核对一致同意但未经招标人核查的结果）</w:t>
      </w:r>
      <w:r>
        <w:rPr>
          <w:rFonts w:hint="eastAsia" w:cs="宋体"/>
          <w:kern w:val="0"/>
        </w:rPr>
        <w:t>。工程结算审核费用不计取基</w:t>
      </w:r>
      <w:r>
        <w:rPr>
          <w:rFonts w:hint="eastAsia" w:cs="宋体"/>
          <w:color w:val="000000"/>
          <w:kern w:val="0"/>
        </w:rPr>
        <w:t>本费，结算审核费用只按工程造价审减额（工程造价审减额=承建方结算上报价-初审造价）*（ 本次中标）%计取。</w:t>
      </w:r>
    </w:p>
    <w:p>
      <w:pPr>
        <w:pStyle w:val="18"/>
        <w:adjustRightInd w:val="0"/>
        <w:snapToGrid w:val="0"/>
        <w:spacing w:line="360" w:lineRule="auto"/>
        <w:ind w:left="360" w:firstLine="0" w:firstLineChars="0"/>
        <w:rPr>
          <w:color w:val="000000"/>
          <w:sz w:val="28"/>
          <w:szCs w:val="28"/>
        </w:rPr>
      </w:pPr>
      <w:r>
        <w:rPr>
          <w:rFonts w:hint="eastAsia" w:cs="宋体"/>
          <w:color w:val="000000"/>
          <w:kern w:val="0"/>
        </w:rPr>
        <w:t xml:space="preserve">    中标人在完成结算初审后，将审核初稿的电子版与审核初稿定案表的纸质版（需加盖公章）同时交给招标人。</w:t>
      </w:r>
      <w:r>
        <w:rPr>
          <w:rFonts w:hint="eastAsia"/>
          <w:color w:val="000000"/>
          <w:sz w:val="28"/>
          <w:szCs w:val="28"/>
        </w:rPr>
        <w:t xml:space="preserve"> </w:t>
      </w: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28"/>
          <w:szCs w:val="28"/>
        </w:rPr>
      </w:pPr>
      <w:r>
        <w:rPr>
          <w:rFonts w:hint="eastAsia"/>
          <w:color w:val="000000"/>
          <w:sz w:val="28"/>
          <w:szCs w:val="28"/>
        </w:rPr>
        <w:t>投标单位：                  代理人：            日期：</w:t>
      </w:r>
    </w:p>
    <w:p>
      <w:pPr>
        <w:ind w:firstLine="420" w:firstLineChars="150"/>
        <w:rPr>
          <w:sz w:val="28"/>
          <w:szCs w:val="28"/>
        </w:rPr>
      </w:pPr>
    </w:p>
    <w:p>
      <w:pPr>
        <w:pStyle w:val="5"/>
        <w:rPr>
          <w:color w:val="000000"/>
          <w:sz w:val="28"/>
          <w:szCs w:val="28"/>
        </w:rPr>
      </w:pPr>
      <w:bookmarkStart w:id="3" w:name="_Toc435450493"/>
      <w:r>
        <w:rPr>
          <w:rFonts w:hint="eastAsia"/>
          <w:color w:val="000000"/>
          <w:sz w:val="24"/>
          <w:szCs w:val="24"/>
        </w:rPr>
        <w:t xml:space="preserve">附件四                        </w:t>
      </w:r>
      <w:r>
        <w:rPr>
          <w:rFonts w:hint="eastAsia"/>
          <w:color w:val="000000"/>
          <w:sz w:val="28"/>
          <w:szCs w:val="28"/>
        </w:rPr>
        <w:t>评 标 办 法</w:t>
      </w:r>
      <w:bookmarkEnd w:id="3"/>
    </w:p>
    <w:p>
      <w:pPr>
        <w:adjustRightInd w:val="0"/>
        <w:snapToGrid w:val="0"/>
        <w:spacing w:line="360" w:lineRule="auto"/>
        <w:rPr>
          <w:color w:val="000000"/>
          <w:sz w:val="24"/>
          <w:szCs w:val="24"/>
        </w:rPr>
      </w:pPr>
      <w:r>
        <w:rPr>
          <w:rFonts w:hint="eastAsia"/>
          <w:color w:val="000000"/>
          <w:sz w:val="24"/>
          <w:szCs w:val="24"/>
        </w:rPr>
        <w:t>1、本次招标为公开招标。</w:t>
      </w:r>
    </w:p>
    <w:p>
      <w:pPr>
        <w:adjustRightInd w:val="0"/>
        <w:snapToGrid w:val="0"/>
        <w:spacing w:line="360" w:lineRule="auto"/>
        <w:rPr>
          <w:color w:val="000000"/>
          <w:sz w:val="24"/>
          <w:szCs w:val="24"/>
        </w:rPr>
      </w:pPr>
      <w:r>
        <w:rPr>
          <w:rFonts w:hint="eastAsia"/>
          <w:color w:val="000000"/>
          <w:sz w:val="24"/>
          <w:szCs w:val="24"/>
        </w:rPr>
        <w:t>2、招标小组在计划时间内组织内部评标，投标人代表需参加现场开标。</w:t>
      </w:r>
    </w:p>
    <w:p>
      <w:pPr>
        <w:adjustRightInd w:val="0"/>
        <w:snapToGrid w:val="0"/>
        <w:spacing w:line="360" w:lineRule="auto"/>
        <w:rPr>
          <w:color w:val="000000"/>
          <w:sz w:val="24"/>
          <w:szCs w:val="24"/>
        </w:rPr>
      </w:pPr>
      <w:r>
        <w:rPr>
          <w:rFonts w:hint="eastAsia"/>
          <w:color w:val="000000"/>
          <w:sz w:val="24"/>
          <w:szCs w:val="24"/>
        </w:rPr>
        <w:t>3、投标书有下列情况者视为无效：</w:t>
      </w:r>
    </w:p>
    <w:p>
      <w:pPr>
        <w:adjustRightInd w:val="0"/>
        <w:snapToGrid w:val="0"/>
        <w:spacing w:line="360" w:lineRule="auto"/>
        <w:rPr>
          <w:color w:val="000000"/>
          <w:sz w:val="24"/>
          <w:szCs w:val="24"/>
        </w:rPr>
      </w:pPr>
      <w:r>
        <w:rPr>
          <w:rFonts w:hint="eastAsia"/>
          <w:color w:val="000000"/>
          <w:sz w:val="24"/>
          <w:szCs w:val="24"/>
        </w:rPr>
        <w:t xml:space="preserve">  （1）、未加盖单位公章和法定代表人印章。</w:t>
      </w:r>
    </w:p>
    <w:p>
      <w:pPr>
        <w:adjustRightInd w:val="0"/>
        <w:snapToGrid w:val="0"/>
        <w:spacing w:line="360" w:lineRule="auto"/>
        <w:rPr>
          <w:color w:val="000000"/>
          <w:sz w:val="24"/>
          <w:szCs w:val="24"/>
        </w:rPr>
      </w:pPr>
      <w:r>
        <w:rPr>
          <w:rFonts w:hint="eastAsia"/>
          <w:color w:val="000000"/>
          <w:sz w:val="24"/>
          <w:szCs w:val="24"/>
        </w:rPr>
        <w:t xml:space="preserve">  （2）、未按招标文件规定的格式和要求填写或字迹模糊不清、内容不全。</w:t>
      </w:r>
    </w:p>
    <w:p>
      <w:pPr>
        <w:adjustRightInd w:val="0"/>
        <w:snapToGrid w:val="0"/>
        <w:spacing w:line="360" w:lineRule="auto"/>
        <w:ind w:left="960" w:hanging="960" w:hangingChars="400"/>
        <w:rPr>
          <w:color w:val="000000"/>
          <w:sz w:val="24"/>
          <w:szCs w:val="24"/>
        </w:rPr>
      </w:pPr>
      <w:r>
        <w:rPr>
          <w:rFonts w:hint="eastAsia"/>
          <w:color w:val="000000"/>
          <w:sz w:val="24"/>
          <w:szCs w:val="24"/>
        </w:rPr>
        <w:t xml:space="preserve">  （3）、未在规定时间内送达标书。</w:t>
      </w:r>
    </w:p>
    <w:p>
      <w:pPr>
        <w:adjustRightInd w:val="0"/>
        <w:snapToGrid w:val="0"/>
        <w:spacing w:line="360" w:lineRule="auto"/>
        <w:ind w:firstLine="240" w:firstLineChars="100"/>
        <w:rPr>
          <w:color w:val="000000"/>
          <w:sz w:val="28"/>
          <w:szCs w:val="28"/>
        </w:rPr>
      </w:pPr>
      <w:r>
        <w:rPr>
          <w:rFonts w:hint="eastAsia"/>
          <w:color w:val="000000"/>
          <w:sz w:val="24"/>
          <w:szCs w:val="24"/>
        </w:rPr>
        <w:t>（4）、投标人以任何形式干扰招投标工作公开、公正进行的。</w:t>
      </w:r>
    </w:p>
    <w:p>
      <w:pPr>
        <w:adjustRightInd w:val="0"/>
        <w:snapToGrid w:val="0"/>
        <w:spacing w:line="360" w:lineRule="auto"/>
        <w:ind w:firstLine="240" w:firstLineChars="100"/>
        <w:rPr>
          <w:color w:val="000000"/>
          <w:sz w:val="24"/>
          <w:szCs w:val="24"/>
        </w:rPr>
      </w:pPr>
      <w:r>
        <w:rPr>
          <w:rFonts w:hint="eastAsia"/>
          <w:color w:val="000000"/>
          <w:sz w:val="24"/>
          <w:szCs w:val="24"/>
        </w:rPr>
        <w:t>（5）、投标单位代理人未参加开标会。</w:t>
      </w:r>
    </w:p>
    <w:p>
      <w:pPr>
        <w:adjustRightInd w:val="0"/>
        <w:snapToGrid w:val="0"/>
        <w:spacing w:line="360" w:lineRule="auto"/>
        <w:ind w:firstLine="240" w:firstLineChars="100"/>
        <w:rPr>
          <w:color w:val="000000"/>
          <w:sz w:val="28"/>
          <w:szCs w:val="28"/>
        </w:rPr>
      </w:pPr>
      <w:r>
        <w:rPr>
          <w:rFonts w:hint="eastAsia"/>
          <w:color w:val="000000"/>
          <w:sz w:val="24"/>
          <w:szCs w:val="24"/>
        </w:rPr>
        <w:t>（6）、其它不符合招标文件款项的。</w:t>
      </w:r>
    </w:p>
    <w:p>
      <w:pPr>
        <w:adjustRightInd w:val="0"/>
        <w:snapToGrid w:val="0"/>
        <w:spacing w:line="360" w:lineRule="auto"/>
        <w:rPr>
          <w:b/>
          <w:color w:val="000000"/>
          <w:sz w:val="24"/>
          <w:szCs w:val="24"/>
        </w:rPr>
      </w:pPr>
      <w:r>
        <w:rPr>
          <w:rFonts w:hint="eastAsia"/>
          <w:color w:val="000000"/>
          <w:sz w:val="24"/>
          <w:szCs w:val="24"/>
        </w:rPr>
        <w:t>4、评标原则</w:t>
      </w:r>
      <w:r>
        <w:rPr>
          <w:rFonts w:hint="eastAsia"/>
          <w:b/>
          <w:color w:val="000000"/>
          <w:sz w:val="24"/>
          <w:szCs w:val="24"/>
        </w:rPr>
        <w:t xml:space="preserve">： </w:t>
      </w:r>
    </w:p>
    <w:p>
      <w:pPr>
        <w:adjustRightInd w:val="0"/>
        <w:snapToGrid w:val="0"/>
        <w:spacing w:line="360" w:lineRule="auto"/>
        <w:ind w:left="210" w:leftChars="100" w:firstLine="480" w:firstLineChars="200"/>
        <w:rPr>
          <w:color w:val="000000"/>
          <w:sz w:val="24"/>
          <w:szCs w:val="24"/>
        </w:rPr>
      </w:pPr>
      <w:r>
        <w:rPr>
          <w:rFonts w:hint="eastAsia"/>
          <w:color w:val="000000"/>
          <w:sz w:val="24"/>
          <w:szCs w:val="24"/>
        </w:rPr>
        <w:t>根据投标报价、冶金行业建设工程造价审核业绩、服务质量、企业信誉和公司资质，进行综合评定。</w:t>
      </w:r>
    </w:p>
    <w:p>
      <w:pPr>
        <w:adjustRightInd w:val="0"/>
        <w:snapToGrid w:val="0"/>
        <w:spacing w:line="360" w:lineRule="auto"/>
        <w:ind w:left="307" w:hanging="307" w:hangingChars="128"/>
        <w:rPr>
          <w:color w:val="000000"/>
          <w:sz w:val="24"/>
          <w:szCs w:val="24"/>
        </w:rPr>
      </w:pPr>
      <w:r>
        <w:rPr>
          <w:rFonts w:hint="eastAsia"/>
          <w:color w:val="000000"/>
          <w:sz w:val="24"/>
          <w:szCs w:val="24"/>
        </w:rPr>
        <w:t>5、招标小组根据各单位投标情况按以上评标原则评标，择优选择中标单位。</w:t>
      </w:r>
    </w:p>
    <w:p>
      <w:pPr>
        <w:adjustRightInd w:val="0"/>
        <w:snapToGrid w:val="0"/>
        <w:spacing w:line="360" w:lineRule="auto"/>
        <w:rPr>
          <w:color w:val="000000"/>
          <w:sz w:val="28"/>
          <w:szCs w:val="28"/>
        </w:rPr>
      </w:pPr>
    </w:p>
    <w:p>
      <w:pPr>
        <w:spacing w:line="300" w:lineRule="auto"/>
        <w:rPr>
          <w:b/>
          <w:sz w:val="18"/>
          <w:szCs w:val="18"/>
        </w:rPr>
      </w:pPr>
    </w:p>
    <w:p>
      <w:pPr>
        <w:pStyle w:val="2"/>
        <w:ind w:firstLine="361"/>
        <w:rPr>
          <w:b/>
          <w:sz w:val="18"/>
          <w:szCs w:val="18"/>
        </w:rPr>
      </w:pPr>
    </w:p>
    <w:p>
      <w:pPr>
        <w:pStyle w:val="2"/>
        <w:ind w:firstLine="361"/>
        <w:rPr>
          <w:b/>
          <w:sz w:val="18"/>
          <w:szCs w:val="18"/>
        </w:rPr>
      </w:pPr>
    </w:p>
    <w:p>
      <w:pPr>
        <w:pStyle w:val="2"/>
        <w:ind w:firstLine="361"/>
        <w:rPr>
          <w:b/>
          <w:sz w:val="18"/>
          <w:szCs w:val="18"/>
        </w:rPr>
      </w:pPr>
    </w:p>
    <w:p>
      <w:pPr>
        <w:pStyle w:val="2"/>
        <w:ind w:firstLine="361"/>
        <w:rPr>
          <w:b/>
          <w:sz w:val="18"/>
          <w:szCs w:val="18"/>
        </w:rPr>
      </w:pPr>
    </w:p>
    <w:tbl>
      <w:tblPr>
        <w:tblStyle w:val="13"/>
        <w:tblpPr w:leftFromText="180" w:rightFromText="180" w:vertAnchor="page" w:horzAnchor="page" w:tblpX="1102" w:tblpY="2385"/>
        <w:tblOverlap w:val="never"/>
        <w:tblW w:w="9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1488"/>
        <w:gridCol w:w="418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1488"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标价（50分）</w:t>
            </w:r>
          </w:p>
        </w:tc>
        <w:tc>
          <w:tcPr>
            <w:tcW w:w="7584" w:type="dxa"/>
            <w:gridSpan w:val="2"/>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投标价权重：一审结算审核80%，二审10%，预算编制10%。三部分分别打分后加权计算投标价分值。根据投标结果去掉一个最高和最低，中间部分取平均值做为满分标准，低于平均值的按照相应比例核减分值，高于平均值的按照相应比例核减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3" w:hRule="atLeast"/>
        </w:trPr>
        <w:tc>
          <w:tcPr>
            <w:tcW w:w="710" w:type="dxa"/>
            <w:vMerge w:val="continue"/>
            <w:vAlign w:val="center"/>
          </w:tcPr>
          <w:p>
            <w:pPr>
              <w:spacing w:line="360" w:lineRule="exact"/>
              <w:jc w:val="center"/>
              <w:rPr>
                <w:rFonts w:ascii="宋体" w:hAnsi="宋体" w:cs="宋体"/>
                <w:color w:val="000000"/>
              </w:rPr>
            </w:pPr>
          </w:p>
        </w:tc>
        <w:tc>
          <w:tcPr>
            <w:tcW w:w="1488"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rPr>
              <w:t>冶金行业业绩（30分）</w:t>
            </w:r>
          </w:p>
        </w:tc>
        <w:tc>
          <w:tcPr>
            <w:tcW w:w="7584" w:type="dxa"/>
            <w:gridSpan w:val="2"/>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提供冶金行业业绩10份，每份3分，满分为30分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61"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restart"/>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企业信誉</w:t>
            </w:r>
          </w:p>
          <w:p>
            <w:pPr>
              <w:widowControl/>
              <w:spacing w:line="360" w:lineRule="exact"/>
              <w:jc w:val="center"/>
              <w:textAlignment w:val="center"/>
              <w:rPr>
                <w:rFonts w:ascii="宋体" w:hAnsi="宋体" w:cs="宋体"/>
                <w:color w:val="000000"/>
              </w:rPr>
            </w:pPr>
            <w:r>
              <w:rPr>
                <w:rFonts w:hint="eastAsia" w:ascii="宋体" w:hAnsi="宋体" w:cs="宋体"/>
                <w:color w:val="000000"/>
                <w:kern w:val="0"/>
              </w:rPr>
              <w:t>（20分）</w:t>
            </w:r>
          </w:p>
        </w:tc>
        <w:tc>
          <w:tcPr>
            <w:tcW w:w="4182" w:type="dxa"/>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企业资金状况及信用等级：5分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w:t>
            </w:r>
            <w:r>
              <w:rPr>
                <w:rFonts w:hint="eastAsia" w:ascii="宋体" w:hAnsi="宋体" w:cs="宋体"/>
                <w:color w:val="000000"/>
                <w:lang w:val="en-US" w:eastAsia="zh-CN"/>
              </w:rPr>
              <w:t>1</w:t>
            </w:r>
            <w:r>
              <w:rPr>
                <w:rFonts w:hint="eastAsia" w:ascii="宋体" w:hAnsi="宋体" w:cs="宋体"/>
                <w:color w:val="000000"/>
              </w:rPr>
              <w:t>分，A级企业+1分，AA级企业+2分，AAA级企业+3分（信用在有效期内）；</w:t>
            </w:r>
            <w:r>
              <w:rPr>
                <w:rFonts w:hint="eastAsia" w:ascii="宋体" w:hAnsi="宋体" w:cs="宋体"/>
                <w:color w:val="000000"/>
                <w:kern w:val="0"/>
              </w:rPr>
              <w:t>企业资金状况良好+</w:t>
            </w:r>
            <w:r>
              <w:rPr>
                <w:rFonts w:hint="eastAsia" w:ascii="宋体" w:hAnsi="宋体" w:cs="宋体"/>
                <w:color w:val="000000"/>
                <w:kern w:val="0"/>
                <w:lang w:val="en-US" w:eastAsia="zh-CN"/>
              </w:rPr>
              <w:t>1</w:t>
            </w:r>
            <w:bookmarkStart w:id="4" w:name="_GoBack"/>
            <w:bookmarkEnd w:id="4"/>
            <w:r>
              <w:rPr>
                <w:rFonts w:hint="eastAsia" w:ascii="宋体" w:hAnsi="宋体" w:cs="宋体"/>
                <w:color w:val="000000"/>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continue"/>
            <w:vAlign w:val="center"/>
          </w:tcPr>
          <w:p>
            <w:pPr>
              <w:widowControl/>
              <w:spacing w:line="360" w:lineRule="exact"/>
              <w:jc w:val="center"/>
              <w:textAlignment w:val="center"/>
              <w:rPr>
                <w:rFonts w:ascii="宋体" w:hAnsi="宋体" w:cs="宋体"/>
                <w:color w:val="000000"/>
                <w:kern w:val="0"/>
              </w:rPr>
            </w:pPr>
          </w:p>
        </w:tc>
        <w:tc>
          <w:tcPr>
            <w:tcW w:w="4182" w:type="dxa"/>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每项4分，若有一项不良情况，计0分。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continue"/>
            <w:vAlign w:val="center"/>
          </w:tcPr>
          <w:p>
            <w:pPr>
              <w:widowControl/>
              <w:spacing w:line="360" w:lineRule="exact"/>
              <w:jc w:val="center"/>
              <w:textAlignment w:val="center"/>
              <w:rPr>
                <w:rFonts w:ascii="宋体" w:hAnsi="宋体" w:cs="宋体"/>
                <w:color w:val="000000"/>
              </w:rPr>
            </w:pPr>
          </w:p>
        </w:tc>
        <w:tc>
          <w:tcPr>
            <w:tcW w:w="4182" w:type="dxa"/>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体系认证共计3分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每项1分，最高得3分。</w:t>
            </w:r>
          </w:p>
        </w:tc>
      </w:tr>
    </w:tbl>
    <w:p>
      <w:pPr>
        <w:pStyle w:val="2"/>
        <w:ind w:left="0" w:leftChars="0" w:firstLine="0" w:firstLineChars="0"/>
        <w:rPr>
          <w:b/>
          <w:sz w:val="18"/>
          <w:szCs w:val="18"/>
        </w:rPr>
        <w:sectPr>
          <w:footerReference r:id="rId3" w:type="default"/>
          <w:pgSz w:w="11900" w:h="16840"/>
          <w:pgMar w:top="278" w:right="1361" w:bottom="1582" w:left="981" w:header="720" w:footer="720" w:gutter="0"/>
          <w:cols w:space="720" w:num="1"/>
        </w:sectPr>
      </w:pPr>
    </w:p>
    <w:p>
      <w:pPr>
        <w:spacing w:line="300" w:lineRule="auto"/>
        <w:rPr>
          <w:b/>
        </w:rPr>
      </w:pPr>
    </w:p>
    <w:p>
      <w:pPr>
        <w:tabs>
          <w:tab w:val="left" w:pos="720"/>
          <w:tab w:val="left" w:pos="7200"/>
        </w:tabs>
        <w:snapToGrid w:val="0"/>
        <w:spacing w:line="240" w:lineRule="atLeast"/>
        <w:ind w:firstLine="1260" w:firstLineChars="600"/>
        <w:rPr>
          <w:rFonts w:ascii="仿宋_GB2312" w:eastAsia="仿宋_GB2312"/>
          <w:b/>
          <w:sz w:val="28"/>
          <w:szCs w:val="28"/>
        </w:rPr>
      </w:pPr>
      <w: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ascii="黑体" w:eastAsia="黑体"/>
          <w:b/>
          <w:sz w:val="28"/>
          <w:szCs w:val="28"/>
        </w:rPr>
      </w:pPr>
      <w:r>
        <w:rPr>
          <w:rFonts w:hint="eastAsia" w:ascii="黑体" w:eastAsia="黑体"/>
          <w:b/>
          <w:sz w:val="28"/>
          <w:szCs w:val="28"/>
        </w:rPr>
        <w:t>Wuhu Xinxing Ductile Iron Pipes Co.,Ltd</w:t>
      </w:r>
    </w:p>
    <w:p>
      <w:pPr>
        <w:ind w:firstLine="1687" w:firstLineChars="600"/>
        <w:rPr>
          <w:rFonts w:ascii="黑体" w:eastAsia="黑体"/>
          <w:b/>
          <w:sz w:val="28"/>
          <w:szCs w:val="28"/>
        </w:rPr>
      </w:pPr>
      <w:r>
        <w:rPr>
          <w:rFonts w:hint="eastAsia" w:ascii="黑体" w:eastAsia="黑体"/>
          <w:b/>
          <w:sz w:val="28"/>
          <w:szCs w:val="28"/>
        </w:rPr>
        <w:t>投标报名申请函</w:t>
      </w:r>
    </w:p>
    <w:p>
      <w:pPr>
        <w:ind w:firstLine="1680" w:firstLineChars="6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5"/>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5"/>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5"/>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5"/>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5"/>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pPr>
    </w:p>
    <w:p>
      <w:pPr>
        <w:pStyle w:val="12"/>
        <w:widowControl/>
        <w:rPr>
          <w:rFonts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0000006"/>
    <w:multiLevelType w:val="multilevel"/>
    <w:tmpl w:val="00000006"/>
    <w:lvl w:ilvl="0" w:tentative="0">
      <w:start w:val="1"/>
      <w:numFmt w:val="decimal"/>
      <w:lvlText w:val="%1、"/>
      <w:lvlJc w:val="left"/>
      <w:pPr>
        <w:tabs>
          <w:tab w:val="left" w:pos="1004"/>
        </w:tabs>
        <w:ind w:left="1004" w:hanging="720"/>
      </w:pPr>
      <w:rPr>
        <w:rFonts w:ascii="Times New Roman" w:hAnsi="Times New Roman" w:eastAsia="Times New Roman" w:cs="Times New Roman"/>
        <w:b w:val="0"/>
        <w:color w:val="auto"/>
        <w:sz w:val="28"/>
        <w:szCs w:val="28"/>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5E7D11"/>
    <w:multiLevelType w:val="multilevel"/>
    <w:tmpl w:val="0D5E7D11"/>
    <w:lvl w:ilvl="0" w:tentative="0">
      <w:start w:val="2"/>
      <w:numFmt w:val="decimal"/>
      <w:lvlText w:val="%1、"/>
      <w:lvlJc w:val="left"/>
      <w:pPr>
        <w:ind w:left="1506" w:hanging="360"/>
      </w:pPr>
      <w:rPr>
        <w:rFonts w:hint="default"/>
      </w:rPr>
    </w:lvl>
    <w:lvl w:ilvl="1" w:tentative="0">
      <w:start w:val="1"/>
      <w:numFmt w:val="lowerLetter"/>
      <w:lvlText w:val="%2)"/>
      <w:lvlJc w:val="left"/>
      <w:pPr>
        <w:ind w:left="1986" w:hanging="420"/>
      </w:pPr>
    </w:lvl>
    <w:lvl w:ilvl="2" w:tentative="0">
      <w:start w:val="1"/>
      <w:numFmt w:val="lowerRoman"/>
      <w:lvlText w:val="%3."/>
      <w:lvlJc w:val="right"/>
      <w:pPr>
        <w:ind w:left="2406" w:hanging="420"/>
      </w:pPr>
    </w:lvl>
    <w:lvl w:ilvl="3" w:tentative="0">
      <w:start w:val="1"/>
      <w:numFmt w:val="decimal"/>
      <w:lvlText w:val="%4."/>
      <w:lvlJc w:val="left"/>
      <w:pPr>
        <w:ind w:left="2826" w:hanging="420"/>
      </w:pPr>
    </w:lvl>
    <w:lvl w:ilvl="4" w:tentative="0">
      <w:start w:val="1"/>
      <w:numFmt w:val="lowerLetter"/>
      <w:lvlText w:val="%5)"/>
      <w:lvlJc w:val="left"/>
      <w:pPr>
        <w:ind w:left="3246" w:hanging="420"/>
      </w:pPr>
    </w:lvl>
    <w:lvl w:ilvl="5" w:tentative="0">
      <w:start w:val="1"/>
      <w:numFmt w:val="lowerRoman"/>
      <w:lvlText w:val="%6."/>
      <w:lvlJc w:val="right"/>
      <w:pPr>
        <w:ind w:left="3666" w:hanging="420"/>
      </w:pPr>
    </w:lvl>
    <w:lvl w:ilvl="6" w:tentative="0">
      <w:start w:val="1"/>
      <w:numFmt w:val="decimal"/>
      <w:lvlText w:val="%7."/>
      <w:lvlJc w:val="left"/>
      <w:pPr>
        <w:ind w:left="4086" w:hanging="420"/>
      </w:pPr>
    </w:lvl>
    <w:lvl w:ilvl="7" w:tentative="0">
      <w:start w:val="1"/>
      <w:numFmt w:val="lowerLetter"/>
      <w:lvlText w:val="%8)"/>
      <w:lvlJc w:val="left"/>
      <w:pPr>
        <w:ind w:left="4506" w:hanging="420"/>
      </w:pPr>
    </w:lvl>
    <w:lvl w:ilvl="8" w:tentative="0">
      <w:start w:val="1"/>
      <w:numFmt w:val="lowerRoman"/>
      <w:lvlText w:val="%9."/>
      <w:lvlJc w:val="right"/>
      <w:pPr>
        <w:ind w:left="4926" w:hanging="420"/>
      </w:pPr>
    </w:lvl>
  </w:abstractNum>
  <w:abstractNum w:abstractNumId="3">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4FF372B4"/>
    <w:multiLevelType w:val="multilevel"/>
    <w:tmpl w:val="4FF372B4"/>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3"/>
  </w:num>
  <w:num w:numId="2">
    <w:abstractNumId w:val="1"/>
  </w:num>
  <w:num w:numId="3">
    <w:abstractNumId w:val="2"/>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72883"/>
    <w:rsid w:val="00082C20"/>
    <w:rsid w:val="00090516"/>
    <w:rsid w:val="000A75D0"/>
    <w:rsid w:val="000C0512"/>
    <w:rsid w:val="000F2841"/>
    <w:rsid w:val="0012767D"/>
    <w:rsid w:val="00153836"/>
    <w:rsid w:val="001545EC"/>
    <w:rsid w:val="00171DCD"/>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2E1E4E"/>
    <w:rsid w:val="003031D2"/>
    <w:rsid w:val="00316828"/>
    <w:rsid w:val="0032126A"/>
    <w:rsid w:val="00321467"/>
    <w:rsid w:val="00363046"/>
    <w:rsid w:val="003950B9"/>
    <w:rsid w:val="003B7451"/>
    <w:rsid w:val="004108AA"/>
    <w:rsid w:val="004128A9"/>
    <w:rsid w:val="004320C6"/>
    <w:rsid w:val="00450D31"/>
    <w:rsid w:val="00467CA8"/>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80417"/>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AF4082"/>
    <w:rsid w:val="00B11433"/>
    <w:rsid w:val="00B15EA5"/>
    <w:rsid w:val="00B20618"/>
    <w:rsid w:val="00B279ED"/>
    <w:rsid w:val="00B479A1"/>
    <w:rsid w:val="00B525D8"/>
    <w:rsid w:val="00B534B7"/>
    <w:rsid w:val="00B637A5"/>
    <w:rsid w:val="00B7545C"/>
    <w:rsid w:val="00B91B01"/>
    <w:rsid w:val="00B97174"/>
    <w:rsid w:val="00BA1769"/>
    <w:rsid w:val="00BB091A"/>
    <w:rsid w:val="00BB2ABE"/>
    <w:rsid w:val="00BB3045"/>
    <w:rsid w:val="00BD264D"/>
    <w:rsid w:val="00BE4DDB"/>
    <w:rsid w:val="00C06D5D"/>
    <w:rsid w:val="00C26B00"/>
    <w:rsid w:val="00C371E8"/>
    <w:rsid w:val="00C42743"/>
    <w:rsid w:val="00C42B42"/>
    <w:rsid w:val="00C54F5F"/>
    <w:rsid w:val="00C62DDF"/>
    <w:rsid w:val="00C81C0E"/>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0A6"/>
    <w:rsid w:val="00D87DAE"/>
    <w:rsid w:val="00DC31BA"/>
    <w:rsid w:val="00DC789F"/>
    <w:rsid w:val="00DD1C6F"/>
    <w:rsid w:val="00DF033B"/>
    <w:rsid w:val="00DF459B"/>
    <w:rsid w:val="00DF5D35"/>
    <w:rsid w:val="00E073E7"/>
    <w:rsid w:val="00E10DA3"/>
    <w:rsid w:val="00E3188E"/>
    <w:rsid w:val="00E43480"/>
    <w:rsid w:val="00E55DB0"/>
    <w:rsid w:val="00E61443"/>
    <w:rsid w:val="00E65A62"/>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CA033C"/>
    <w:rsid w:val="04004223"/>
    <w:rsid w:val="0DFC1491"/>
    <w:rsid w:val="0E53580C"/>
    <w:rsid w:val="18277958"/>
    <w:rsid w:val="1DC136C9"/>
    <w:rsid w:val="204E3123"/>
    <w:rsid w:val="214D2E1E"/>
    <w:rsid w:val="21F73AF2"/>
    <w:rsid w:val="23883F50"/>
    <w:rsid w:val="24C93CD8"/>
    <w:rsid w:val="24E835CF"/>
    <w:rsid w:val="282A37D0"/>
    <w:rsid w:val="2D594E2D"/>
    <w:rsid w:val="326329B3"/>
    <w:rsid w:val="32CE6E65"/>
    <w:rsid w:val="333904FF"/>
    <w:rsid w:val="34481C4C"/>
    <w:rsid w:val="403A1815"/>
    <w:rsid w:val="59A06F0E"/>
    <w:rsid w:val="5AB02D1E"/>
    <w:rsid w:val="5C157843"/>
    <w:rsid w:val="66296C18"/>
    <w:rsid w:val="724E1F86"/>
    <w:rsid w:val="756C5C60"/>
    <w:rsid w:val="77676C2F"/>
    <w:rsid w:val="78794F7A"/>
    <w:rsid w:val="7B03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6878</Words>
  <Characters>7237</Characters>
  <Lines>62</Lines>
  <Paragraphs>17</Paragraphs>
  <TotalTime>75</TotalTime>
  <ScaleCrop>false</ScaleCrop>
  <LinksUpToDate>false</LinksUpToDate>
  <CharactersWithSpaces>8425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2022-06-22T02:32:18Z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2515F3B8EE6D4C46B28FF3124695069E</vt:lpwstr>
  </property>
</Properties>
</file>