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铸管入库发运项目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4</w:t>
      </w:r>
      <w:r>
        <w:rPr>
          <w:rFonts w:ascii="宋体" w:hAnsi="宋体"/>
          <w:color w:val="000000"/>
        </w:rPr>
        <w:t>月</w:t>
      </w:r>
      <w:r>
        <w:rPr>
          <w:rFonts w:hint="eastAsia" w:ascii="宋体" w:hAnsi="宋体"/>
          <w:color w:val="000000"/>
          <w:lang w:val="en-US" w:eastAsia="zh-CN"/>
        </w:rPr>
        <w:t>16</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YSQC202103012ZGRKFYXM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铸管入库发运项目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标段一：</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1、铸管入库倒运；铸管移库倒垛、铁运顶管倒运至内库、厂内零星铸管倒运。需使用8米以上平板车14部，24小时作业。</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2、临时用车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厂内临时用车。8米以上平板车，按小时结算费用，提前告知用车需求。</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标段二：</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铸管入库卸车、发运装车；移库移库倒垛及厂内零星铸管倒运装卸。</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需要20吨以上的吊车8台，其中25吨以上的不少于2台。常备7台，第8台根据发运需要增加。日常作业情况：吊车入库3台，24小时作业。1台机动，用于入库、发运、倒垛作业（涉及倒运任务时2台值班）。4台用于发运，每天作业时间段集中在10:00——24:00，发运量大时需要延迟到发运结束。如遇特殊情况，所有吊车的作业要服从工段安排。</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3</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10</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叁拾万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 xml:space="preserve">年 </w:t>
      </w:r>
      <w:r>
        <w:rPr>
          <w:rFonts w:hint="eastAsia" w:ascii="宋体" w:hAnsi="宋体"/>
          <w:bCs/>
          <w:color w:val="7030A0"/>
          <w:u w:val="single"/>
          <w:lang w:val="en-US" w:eastAsia="zh-CN"/>
        </w:rPr>
        <w:t>5</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3</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承揽单位作业人员应持证上岗，车证要相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作业车辆须符合法律法规要求、符合公司车辆管理要求，证照要齐全；平板车、吊车必须安装行车记录仪，提高安全可追溯性；车辆因维修、保养不能作业时，承揽单位应及时安排备用车辆作业，以保证芜湖新兴正常生产。</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4、平板车须达到国五及以上排放标准，并应芜湖新兴的需要提供排放达标的证明材料；平板车需自行安装支架，以提高倒运效率。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5、吊车出厂时间超过10年的不允许进厂作业。承揽单位需提供车管所的机动车信息查询结果单，吊车驾驶员需持特种设备作业人员证。</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6、承揽单位平板车、吊车作业闲置期间，应协助成品工段进行垛位整理、枕木倒运工作。</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7、合同履约保证金为15万元人民币，承揽单位应在合同订立前从其基本账户转出。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进厂履约前，承揽单位需按芜湖新兴安全监察部的要求提交相关材料（公司资质文件、安全保障金缴纳记录、作业人员保险、安全生产制度文件、主要负责人及安全生产管理人员资格证书，等等），完成安全资质备案工作，签订安全生产协议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9、承揽单位作业人员、车辆应在合同履行前10日全部到位，以办理人员培训、进厂手续及车辆进厂手续等。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10、在合同履行中，承揽单位必须遵守芜湖新兴的安全、生产、环保、质量、现场、车辆交通等规章制度。如违反相关规章制度，芜湖新兴将依据规章制度要求给予考核。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承揽单位从业人员不得向服务对象索取任何形式的财物和礼品，如发生此违规行为，承揽单位必须辞退当事人。同时，芜湖新兴铸管有权对承揽单位采取以下行为：第一次发生此违规行为，考核5万元；第二次发生此违规行为，考核10万元；如有第三次，中止合同执行，将其永久列入黑名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15、结算方式：按月结算，收票次月付款（转账或现汇）。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16、合同期：2021年6月28日----2023年6月27日。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W w:w="9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38"/>
        <w:gridCol w:w="2855"/>
        <w:gridCol w:w="1142"/>
        <w:gridCol w:w="1119"/>
        <w:gridCol w:w="1800"/>
        <w:gridCol w:w="1327"/>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i w:val="0"/>
                <w:snapToGrid/>
                <w:color w:val="000000"/>
                <w:sz w:val="21"/>
                <w:szCs w:val="21"/>
                <w:u w:val="none"/>
                <w:lang w:eastAsia="zh-CN"/>
              </w:rPr>
            </w:pPr>
            <w:r>
              <w:rPr>
                <w:rFonts w:hint="eastAsia" w:ascii="宋体" w:hAnsi="宋体" w:cs="宋体"/>
                <w:b w:val="0"/>
                <w:bCs w:val="0"/>
                <w:i w:val="0"/>
                <w:snapToGrid/>
                <w:color w:val="000000"/>
                <w:sz w:val="21"/>
                <w:szCs w:val="21"/>
                <w:u w:val="none"/>
                <w:lang w:eastAsia="zh-CN"/>
              </w:rPr>
              <w:t>标段</w:t>
            </w:r>
          </w:p>
        </w:tc>
        <w:tc>
          <w:tcPr>
            <w:tcW w:w="2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snapToGrid/>
                <w:sz w:val="21"/>
                <w:szCs w:val="21"/>
              </w:rPr>
            </w:pPr>
            <w:r>
              <w:rPr>
                <w:rFonts w:hint="eastAsia" w:ascii="宋体" w:hAnsi="宋体" w:eastAsia="宋体" w:cs="宋体"/>
                <w:b w:val="0"/>
                <w:bCs w:val="0"/>
                <w:i w:val="0"/>
                <w:snapToGrid/>
                <w:color w:val="000000"/>
                <w:sz w:val="21"/>
                <w:szCs w:val="21"/>
                <w:u w:val="none"/>
                <w:lang w:eastAsia="zh-CN"/>
              </w:rPr>
              <w:t>业务内容</w:t>
            </w:r>
          </w:p>
        </w:tc>
        <w:tc>
          <w:tcPr>
            <w:tcW w:w="11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snapToGrid/>
                <w:sz w:val="21"/>
                <w:szCs w:val="21"/>
              </w:rPr>
            </w:pPr>
            <w:r>
              <w:rPr>
                <w:rFonts w:hint="eastAsia" w:ascii="宋体" w:hAnsi="宋体" w:eastAsia="宋体" w:cs="宋体"/>
                <w:b w:val="0"/>
                <w:bCs w:val="0"/>
                <w:i w:val="0"/>
                <w:snapToGrid/>
                <w:color w:val="000000"/>
                <w:sz w:val="21"/>
                <w:szCs w:val="21"/>
                <w:u w:val="none"/>
                <w:lang w:eastAsia="zh-CN"/>
              </w:rPr>
              <w:t>车型</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snapToGrid/>
                <w:sz w:val="21"/>
                <w:szCs w:val="21"/>
              </w:rPr>
            </w:pPr>
            <w:r>
              <w:rPr>
                <w:rFonts w:hint="eastAsia" w:ascii="宋体" w:hAnsi="宋体" w:eastAsia="宋体" w:cs="宋体"/>
                <w:b w:val="0"/>
                <w:bCs w:val="0"/>
                <w:i w:val="0"/>
                <w:snapToGrid/>
                <w:color w:val="000000"/>
                <w:sz w:val="21"/>
                <w:szCs w:val="21"/>
                <w:u w:val="none"/>
                <w:lang w:eastAsia="zh-CN"/>
              </w:rPr>
              <w:t>预估量</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i w:val="0"/>
                <w:snapToGrid/>
                <w:color w:val="000000"/>
                <w:sz w:val="21"/>
                <w:szCs w:val="21"/>
                <w:u w:val="none"/>
                <w:lang w:eastAsia="zh-CN"/>
              </w:rPr>
            </w:pPr>
            <w:r>
              <w:rPr>
                <w:rFonts w:hint="eastAsia" w:ascii="宋体" w:hAnsi="宋体" w:eastAsia="宋体" w:cs="宋体"/>
                <w:b w:val="0"/>
                <w:bCs w:val="0"/>
                <w:i w:val="0"/>
                <w:snapToGrid/>
                <w:color w:val="000000"/>
                <w:sz w:val="21"/>
                <w:szCs w:val="21"/>
                <w:u w:val="none"/>
                <w:lang w:eastAsia="zh-CN"/>
              </w:rPr>
              <w:t>结算</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snapToGrid/>
                <w:sz w:val="21"/>
                <w:szCs w:val="21"/>
              </w:rPr>
            </w:pPr>
            <w:r>
              <w:rPr>
                <w:rFonts w:hint="eastAsia" w:ascii="宋体" w:hAnsi="宋体" w:eastAsia="宋体" w:cs="宋体"/>
                <w:b w:val="0"/>
                <w:bCs w:val="0"/>
                <w:i w:val="0"/>
                <w:snapToGrid/>
                <w:color w:val="000000"/>
                <w:sz w:val="21"/>
                <w:szCs w:val="21"/>
                <w:u w:val="none"/>
                <w:lang w:eastAsia="zh-CN"/>
              </w:rPr>
              <w:t>单</w:t>
            </w:r>
            <w:r>
              <w:rPr>
                <w:rFonts w:hint="eastAsia" w:ascii="宋体" w:hAnsi="宋体" w:eastAsia="宋体" w:cs="宋体"/>
                <w:b w:val="0"/>
                <w:bCs w:val="0"/>
                <w:i w:val="0"/>
                <w:snapToGrid/>
                <w:color w:val="000000"/>
                <w:sz w:val="21"/>
                <w:szCs w:val="21"/>
                <w:u w:val="none"/>
                <w:lang w:val="en-US" w:eastAsia="zh-CN"/>
              </w:rPr>
              <w:t xml:space="preserve"> </w:t>
            </w:r>
            <w:r>
              <w:rPr>
                <w:rFonts w:hint="eastAsia" w:ascii="宋体" w:hAnsi="宋体" w:eastAsia="宋体" w:cs="宋体"/>
                <w:b w:val="0"/>
                <w:bCs w:val="0"/>
                <w:i w:val="0"/>
                <w:snapToGrid/>
                <w:color w:val="000000"/>
                <w:sz w:val="21"/>
                <w:szCs w:val="21"/>
                <w:u w:val="none"/>
                <w:lang w:eastAsia="zh-CN"/>
              </w:rPr>
              <w:t>价</w:t>
            </w:r>
          </w:p>
        </w:tc>
        <w:tc>
          <w:tcPr>
            <w:tcW w:w="111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i w:val="0"/>
                <w:snapToGrid/>
                <w:color w:val="000000"/>
                <w:sz w:val="21"/>
                <w:szCs w:val="21"/>
                <w:u w:val="none"/>
                <w:lang w:eastAsia="zh-CN"/>
              </w:rPr>
            </w:pPr>
            <w:r>
              <w:rPr>
                <w:rFonts w:hint="eastAsia" w:ascii="宋体" w:hAnsi="宋体" w:cs="宋体"/>
                <w:b w:val="0"/>
                <w:bCs w:val="0"/>
                <w:i w:val="0"/>
                <w:snapToGrid/>
                <w:color w:val="000000"/>
                <w:sz w:val="21"/>
                <w:szCs w:val="21"/>
                <w:u w:val="none"/>
                <w:lang w:eastAsia="zh-CN"/>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5" w:hRule="atLeast"/>
          <w:jc w:val="center"/>
        </w:trPr>
        <w:tc>
          <w:tcPr>
            <w:tcW w:w="63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1</w:t>
            </w:r>
          </w:p>
        </w:tc>
        <w:tc>
          <w:tcPr>
            <w:tcW w:w="2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left"/>
              <w:textAlignment w:val="center"/>
              <w:outlineLvl w:val="9"/>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铸管入库倒运。</w:t>
            </w:r>
          </w:p>
        </w:tc>
        <w:tc>
          <w:tcPr>
            <w:tcW w:w="114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val="en-US" w:eastAsia="zh-CN"/>
              </w:rPr>
              <w:t>8</w:t>
            </w:r>
            <w:r>
              <w:rPr>
                <w:rFonts w:hint="eastAsia" w:ascii="宋体" w:hAnsi="宋体" w:eastAsia="宋体" w:cs="宋体"/>
                <w:b w:val="0"/>
                <w:i w:val="0"/>
                <w:snapToGrid/>
                <w:color w:val="auto"/>
                <w:sz w:val="21"/>
                <w:szCs w:val="21"/>
                <w:u w:val="none"/>
                <w:lang w:eastAsia="zh-CN"/>
              </w:rPr>
              <w:t>米以上平板车（14台）</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约</w:t>
            </w:r>
            <w:r>
              <w:rPr>
                <w:rFonts w:hint="eastAsia" w:ascii="宋体" w:hAnsi="宋体" w:eastAsia="宋体" w:cs="宋体"/>
                <w:b w:val="0"/>
                <w:i w:val="0"/>
                <w:snapToGrid/>
                <w:color w:val="auto"/>
                <w:sz w:val="21"/>
                <w:szCs w:val="21"/>
                <w:u w:val="none"/>
                <w:lang w:val="en-US" w:eastAsia="zh-CN"/>
              </w:rPr>
              <w:t>6</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万吨/月</w:t>
            </w:r>
          </w:p>
        </w:tc>
        <w:tc>
          <w:tcPr>
            <w:tcW w:w="180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倒运费用</w:t>
            </w:r>
            <w:r>
              <w:rPr>
                <w:rFonts w:hint="eastAsia" w:ascii="宋体" w:hAnsi="宋体" w:eastAsia="宋体" w:cs="宋体"/>
                <w:b w:val="0"/>
                <w:i w:val="0"/>
                <w:snapToGrid/>
                <w:color w:val="auto"/>
                <w:sz w:val="21"/>
                <w:szCs w:val="21"/>
                <w:u w:val="none"/>
                <w:lang w:val="en-US" w:eastAsia="zh-CN"/>
              </w:rPr>
              <w:t>=倒运量*单价</w:t>
            </w:r>
          </w:p>
        </w:tc>
        <w:tc>
          <w:tcPr>
            <w:tcW w:w="1327" w:type="dxa"/>
            <w:vMerge w:val="restart"/>
            <w:tcBorders>
              <w:top w:val="single" w:color="000000" w:sz="4" w:space="0"/>
              <w:left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cs="宋体"/>
                <w:b w:val="0"/>
                <w:bCs w:val="0"/>
                <w:i w:val="0"/>
                <w:snapToGrid/>
                <w:color w:val="000000"/>
                <w:sz w:val="21"/>
                <w:szCs w:val="21"/>
                <w:u w:val="none"/>
                <w:lang w:val="en-US" w:eastAsia="zh-CN"/>
              </w:rPr>
              <w:t xml:space="preserve">      </w:t>
            </w:r>
            <w:r>
              <w:rPr>
                <w:rFonts w:hint="eastAsia" w:ascii="宋体" w:hAnsi="宋体" w:eastAsia="宋体" w:cs="宋体"/>
                <w:b w:val="0"/>
                <w:bCs w:val="0"/>
                <w:i w:val="0"/>
                <w:snapToGrid/>
                <w:color w:val="000000"/>
                <w:sz w:val="21"/>
                <w:szCs w:val="21"/>
                <w:u w:val="none"/>
                <w:lang w:eastAsia="zh-CN"/>
              </w:rPr>
              <w:t>元/吨</w:t>
            </w:r>
          </w:p>
        </w:tc>
        <w:tc>
          <w:tcPr>
            <w:tcW w:w="111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88" w:hRule="atLeast"/>
          <w:jc w:val="center"/>
        </w:trPr>
        <w:tc>
          <w:tcPr>
            <w:tcW w:w="63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left"/>
              <w:textAlignment w:val="center"/>
              <w:outlineLvl w:val="9"/>
              <w:rPr>
                <w:rFonts w:hint="eastAsia" w:ascii="宋体" w:hAnsi="宋体" w:eastAsia="宋体" w:cs="宋体"/>
                <w:b w:val="0"/>
                <w:i w:val="0"/>
                <w:snapToGrid/>
                <w:color w:val="000000"/>
                <w:sz w:val="21"/>
                <w:szCs w:val="21"/>
                <w:u w:val="none"/>
                <w:lang w:eastAsia="zh-CN"/>
              </w:rPr>
            </w:pPr>
          </w:p>
        </w:tc>
        <w:tc>
          <w:tcPr>
            <w:tcW w:w="2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left"/>
              <w:textAlignment w:val="center"/>
              <w:outlineLvl w:val="9"/>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铸管移库倒垛、铁运顶管倒运至内库、厂内零星铸管倒运。</w:t>
            </w:r>
          </w:p>
        </w:tc>
        <w:tc>
          <w:tcPr>
            <w:tcW w:w="114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约0.5</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万吨/月</w:t>
            </w:r>
          </w:p>
        </w:tc>
        <w:tc>
          <w:tcPr>
            <w:tcW w:w="180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c>
          <w:tcPr>
            <w:tcW w:w="1327" w:type="dxa"/>
            <w:vMerge w:val="continue"/>
            <w:tcBorders>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c>
          <w:tcPr>
            <w:tcW w:w="111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1" w:hRule="atLeast"/>
          <w:jc w:val="center"/>
        </w:trPr>
        <w:tc>
          <w:tcPr>
            <w:tcW w:w="63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left"/>
              <w:textAlignment w:val="center"/>
              <w:outlineLvl w:val="9"/>
              <w:rPr>
                <w:rFonts w:hint="eastAsia" w:ascii="宋体" w:hAnsi="宋体" w:eastAsia="宋体" w:cs="宋体"/>
                <w:b w:val="0"/>
                <w:i w:val="0"/>
                <w:snapToGrid/>
                <w:color w:val="000000"/>
                <w:sz w:val="21"/>
                <w:szCs w:val="21"/>
                <w:u w:val="none"/>
                <w:lang w:eastAsia="zh-CN"/>
              </w:rPr>
            </w:pPr>
          </w:p>
        </w:tc>
        <w:tc>
          <w:tcPr>
            <w:tcW w:w="285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临时用车</w:t>
            </w:r>
          </w:p>
        </w:tc>
        <w:tc>
          <w:tcPr>
            <w:tcW w:w="114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val="en-US" w:eastAsia="zh-CN"/>
              </w:rPr>
              <w:t>8</w:t>
            </w:r>
            <w:r>
              <w:rPr>
                <w:rFonts w:hint="eastAsia" w:ascii="宋体" w:hAnsi="宋体" w:eastAsia="宋体" w:cs="宋体"/>
                <w:b w:val="0"/>
                <w:i w:val="0"/>
                <w:snapToGrid/>
                <w:color w:val="auto"/>
                <w:sz w:val="21"/>
                <w:szCs w:val="21"/>
                <w:u w:val="none"/>
                <w:lang w:eastAsia="zh-CN"/>
              </w:rPr>
              <w:t>米以上平板车</w:t>
            </w:r>
          </w:p>
        </w:tc>
        <w:tc>
          <w:tcPr>
            <w:tcW w:w="111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约</w:t>
            </w:r>
            <w:r>
              <w:rPr>
                <w:rFonts w:hint="eastAsia" w:ascii="宋体" w:hAnsi="宋体" w:eastAsia="宋体" w:cs="宋体"/>
                <w:b w:val="0"/>
                <w:i w:val="0"/>
                <w:snapToGrid/>
                <w:color w:val="auto"/>
                <w:sz w:val="21"/>
                <w:szCs w:val="21"/>
                <w:u w:val="none"/>
                <w:lang w:val="en-US" w:eastAsia="zh-CN"/>
              </w:rPr>
              <w:t>300</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宋体"/>
                <w:b w:val="0"/>
                <w:i w:val="0"/>
                <w:snapToGrid/>
                <w:color w:val="auto"/>
                <w:sz w:val="21"/>
                <w:szCs w:val="21"/>
                <w:u w:val="none"/>
                <w:lang w:val="en-US" w:eastAsia="zh-CN"/>
              </w:rPr>
            </w:pPr>
            <w:r>
              <w:rPr>
                <w:rFonts w:hint="eastAsia" w:ascii="宋体" w:hAnsi="宋体" w:eastAsia="宋体" w:cs="宋体"/>
                <w:b w:val="0"/>
                <w:i w:val="0"/>
                <w:snapToGrid/>
                <w:color w:val="auto"/>
                <w:sz w:val="21"/>
                <w:szCs w:val="21"/>
                <w:u w:val="none"/>
                <w:lang w:val="en-US" w:eastAsia="zh-CN"/>
              </w:rPr>
              <w:t>小时</w:t>
            </w:r>
            <w:r>
              <w:rPr>
                <w:rFonts w:hint="eastAsia" w:ascii="宋体" w:hAnsi="宋体" w:cs="宋体"/>
                <w:b w:val="0"/>
                <w:i w:val="0"/>
                <w:snapToGrid/>
                <w:color w:val="auto"/>
                <w:sz w:val="21"/>
                <w:szCs w:val="21"/>
                <w:u w:val="none"/>
                <w:lang w:val="en-US" w:eastAsia="zh-CN"/>
              </w:rPr>
              <w:t>/约</w:t>
            </w:r>
          </w:p>
        </w:tc>
        <w:tc>
          <w:tcPr>
            <w:tcW w:w="18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r>
              <w:rPr>
                <w:rFonts w:hint="eastAsia" w:ascii="宋体" w:hAnsi="宋体" w:eastAsia="宋体" w:cs="宋体"/>
                <w:b w:val="0"/>
                <w:i w:val="0"/>
                <w:snapToGrid/>
                <w:color w:val="auto"/>
                <w:sz w:val="21"/>
                <w:szCs w:val="21"/>
                <w:u w:val="none"/>
                <w:lang w:eastAsia="zh-CN"/>
              </w:rPr>
              <w:t>结算费用</w:t>
            </w:r>
            <w:r>
              <w:rPr>
                <w:rFonts w:hint="eastAsia" w:ascii="宋体" w:hAnsi="宋体" w:eastAsia="宋体" w:cs="宋体"/>
                <w:b w:val="0"/>
                <w:i w:val="0"/>
                <w:snapToGrid/>
                <w:color w:val="auto"/>
                <w:sz w:val="21"/>
                <w:szCs w:val="21"/>
                <w:u w:val="none"/>
                <w:lang w:val="en-US" w:eastAsia="zh-CN"/>
              </w:rPr>
              <w:t>=使用时间*单价</w:t>
            </w:r>
          </w:p>
        </w:tc>
        <w:tc>
          <w:tcPr>
            <w:tcW w:w="1327" w:type="dxa"/>
            <w:tcBorders>
              <w:top w:val="single" w:color="000000" w:sz="4" w:space="0"/>
              <w:left w:val="single" w:color="000000"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cs="宋体"/>
                <w:b w:val="0"/>
                <w:i w:val="0"/>
                <w:snapToGrid/>
                <w:color w:val="auto"/>
                <w:sz w:val="21"/>
                <w:szCs w:val="21"/>
                <w:u w:val="none"/>
                <w:lang w:val="en-US" w:eastAsia="zh-CN"/>
              </w:rPr>
              <w:t xml:space="preserve">              </w:t>
            </w:r>
            <w:r>
              <w:rPr>
                <w:rFonts w:hint="eastAsia" w:ascii="宋体" w:hAnsi="宋体" w:eastAsia="宋体" w:cs="宋体"/>
                <w:b w:val="0"/>
                <w:i w:val="0"/>
                <w:snapToGrid/>
                <w:color w:val="auto"/>
                <w:sz w:val="21"/>
                <w:szCs w:val="21"/>
                <w:u w:val="none"/>
                <w:lang w:eastAsia="zh-CN"/>
              </w:rPr>
              <w:t>元</w:t>
            </w:r>
            <w:r>
              <w:rPr>
                <w:rFonts w:hint="eastAsia" w:ascii="宋体" w:hAnsi="宋体" w:eastAsia="宋体" w:cs="宋体"/>
                <w:b w:val="0"/>
                <w:i w:val="0"/>
                <w:snapToGrid/>
                <w:color w:val="auto"/>
                <w:sz w:val="21"/>
                <w:szCs w:val="21"/>
                <w:u w:val="none"/>
                <w:lang w:val="en-US" w:eastAsia="zh-CN"/>
              </w:rPr>
              <w:t>/小时</w:t>
            </w:r>
          </w:p>
        </w:tc>
        <w:tc>
          <w:tcPr>
            <w:tcW w:w="1115" w:type="dxa"/>
            <w:tcBorders>
              <w:top w:val="single" w:color="auto" w:sz="4" w:space="0"/>
              <w:left w:val="single" w:color="000000"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jc w:val="center"/>
        </w:trPr>
        <w:tc>
          <w:tcPr>
            <w:tcW w:w="888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i w:val="0"/>
                <w:snapToGrid/>
                <w:color w:val="000000"/>
                <w:sz w:val="21"/>
                <w:szCs w:val="21"/>
                <w:u w:val="none"/>
                <w:lang w:eastAsia="zh-CN"/>
              </w:rPr>
            </w:pPr>
            <w:r>
              <w:rPr>
                <w:rFonts w:hint="eastAsia" w:ascii="宋体" w:hAnsi="宋体" w:cs="宋体"/>
                <w:b w:val="0"/>
                <w:bCs w:val="0"/>
                <w:i w:val="0"/>
                <w:snapToGrid/>
                <w:color w:val="000000"/>
                <w:sz w:val="21"/>
                <w:szCs w:val="21"/>
                <w:u w:val="none"/>
                <w:lang w:eastAsia="zh-CN"/>
              </w:rPr>
              <w:t>合</w:t>
            </w:r>
            <w:r>
              <w:rPr>
                <w:rFonts w:hint="eastAsia" w:ascii="宋体" w:hAnsi="宋体" w:cs="宋体"/>
                <w:b w:val="0"/>
                <w:bCs w:val="0"/>
                <w:i w:val="0"/>
                <w:snapToGrid/>
                <w:color w:val="000000"/>
                <w:sz w:val="21"/>
                <w:szCs w:val="21"/>
                <w:u w:val="none"/>
                <w:lang w:val="en-US" w:eastAsia="zh-CN"/>
              </w:rPr>
              <w:t xml:space="preserve">   </w:t>
            </w:r>
            <w:r>
              <w:rPr>
                <w:rFonts w:hint="eastAsia" w:ascii="宋体" w:hAnsi="宋体" w:cs="宋体"/>
                <w:b w:val="0"/>
                <w:bCs w:val="0"/>
                <w:i w:val="0"/>
                <w:snapToGrid/>
                <w:color w:val="000000"/>
                <w:sz w:val="21"/>
                <w:szCs w:val="21"/>
                <w:u w:val="none"/>
                <w:lang w:eastAsia="zh-CN"/>
              </w:rPr>
              <w:t>计</w:t>
            </w:r>
          </w:p>
        </w:tc>
        <w:tc>
          <w:tcPr>
            <w:tcW w:w="1115" w:type="dxa"/>
            <w:tcBorders>
              <w:top w:val="single" w:color="auto" w:sz="4" w:space="0"/>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1"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宋体"/>
                <w:b w:val="0"/>
                <w:i w:val="0"/>
                <w:snapToGrid/>
                <w:color w:val="000000"/>
                <w:sz w:val="21"/>
                <w:szCs w:val="21"/>
                <w:u w:val="none"/>
                <w:lang w:val="en-US" w:eastAsia="zh-CN"/>
              </w:rPr>
            </w:pPr>
            <w:r>
              <w:rPr>
                <w:rFonts w:hint="eastAsia" w:ascii="宋体" w:hAnsi="宋体" w:cs="宋体"/>
                <w:b w:val="0"/>
                <w:i w:val="0"/>
                <w:snapToGrid/>
                <w:color w:val="000000"/>
                <w:sz w:val="21"/>
                <w:szCs w:val="21"/>
                <w:u w:val="none"/>
                <w:lang w:val="en-US" w:eastAsia="zh-CN"/>
              </w:rPr>
              <w:t>2</w:t>
            </w:r>
          </w:p>
        </w:tc>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left"/>
              <w:textAlignment w:val="center"/>
              <w:outlineLvl w:val="9"/>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铸管入库卸车、发运装车</w:t>
            </w:r>
            <w:r>
              <w:rPr>
                <w:rFonts w:hint="eastAsia" w:ascii="宋体" w:hAnsi="宋体" w:cs="宋体"/>
                <w:b w:val="0"/>
                <w:i w:val="0"/>
                <w:snapToGrid/>
                <w:color w:val="000000"/>
                <w:sz w:val="21"/>
                <w:szCs w:val="21"/>
                <w:u w:val="none"/>
                <w:lang w:val="en-US" w:eastAsia="zh-CN"/>
              </w:rPr>
              <w:t>.</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r>
              <w:rPr>
                <w:rFonts w:hint="eastAsia" w:ascii="宋体" w:hAnsi="宋体" w:eastAsia="宋体" w:cs="宋体"/>
                <w:b w:val="0"/>
                <w:i w:val="0"/>
                <w:snapToGrid/>
                <w:color w:val="auto"/>
                <w:sz w:val="21"/>
                <w:szCs w:val="21"/>
                <w:u w:val="none"/>
                <w:lang w:val="en-US" w:eastAsia="zh-CN"/>
              </w:rPr>
              <w:t>20</w:t>
            </w:r>
            <w:r>
              <w:rPr>
                <w:rFonts w:hint="eastAsia" w:ascii="宋体" w:hAnsi="宋体" w:eastAsia="宋体" w:cs="宋体"/>
                <w:b w:val="0"/>
                <w:i w:val="0"/>
                <w:snapToGrid/>
                <w:color w:val="auto"/>
                <w:sz w:val="21"/>
                <w:szCs w:val="21"/>
                <w:u w:val="none"/>
                <w:lang w:eastAsia="zh-CN"/>
              </w:rPr>
              <w:t>吨以上吊车（</w:t>
            </w:r>
            <w:r>
              <w:rPr>
                <w:rFonts w:hint="eastAsia" w:ascii="宋体" w:hAnsi="宋体" w:eastAsia="宋体" w:cs="宋体"/>
                <w:b w:val="0"/>
                <w:i w:val="0"/>
                <w:snapToGrid/>
                <w:color w:val="auto"/>
                <w:sz w:val="21"/>
                <w:szCs w:val="21"/>
                <w:u w:val="none"/>
                <w:lang w:val="en-US" w:eastAsia="zh-CN"/>
              </w:rPr>
              <w:t>8</w:t>
            </w:r>
            <w:r>
              <w:rPr>
                <w:rFonts w:hint="eastAsia" w:ascii="宋体" w:hAnsi="宋体" w:eastAsia="宋体" w:cs="宋体"/>
                <w:b w:val="0"/>
                <w:i w:val="0"/>
                <w:snapToGrid/>
                <w:color w:val="auto"/>
                <w:sz w:val="21"/>
                <w:szCs w:val="21"/>
                <w:u w:val="none"/>
                <w:lang w:eastAsia="zh-CN"/>
              </w:rPr>
              <w:t>台）</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约7.2</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万吨/月</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吊装费用</w:t>
            </w:r>
            <w:r>
              <w:rPr>
                <w:rFonts w:hint="eastAsia" w:ascii="宋体" w:hAnsi="宋体" w:eastAsia="宋体" w:cs="宋体"/>
                <w:b w:val="0"/>
                <w:i w:val="0"/>
                <w:snapToGrid/>
                <w:color w:val="auto"/>
                <w:sz w:val="21"/>
                <w:szCs w:val="21"/>
                <w:u w:val="none"/>
                <w:lang w:val="en-US" w:eastAsia="zh-CN"/>
              </w:rPr>
              <w:t>=吊装量*单价</w:t>
            </w:r>
          </w:p>
        </w:tc>
        <w:tc>
          <w:tcPr>
            <w:tcW w:w="1327" w:type="dxa"/>
            <w:vMerge w:val="restart"/>
            <w:tcBorders>
              <w:top w:val="single" w:color="auto" w:sz="4" w:space="0"/>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cs="宋体"/>
                <w:b w:val="0"/>
                <w:bCs w:val="0"/>
                <w:i w:val="0"/>
                <w:snapToGrid/>
                <w:color w:val="000000"/>
                <w:sz w:val="21"/>
                <w:szCs w:val="21"/>
                <w:u w:val="none"/>
                <w:lang w:val="en-US" w:eastAsia="zh-CN"/>
              </w:rPr>
              <w:t xml:space="preserve">      </w:t>
            </w:r>
            <w:r>
              <w:rPr>
                <w:rFonts w:hint="eastAsia" w:ascii="宋体" w:hAnsi="宋体" w:eastAsia="宋体" w:cs="宋体"/>
                <w:b w:val="0"/>
                <w:bCs w:val="0"/>
                <w:i w:val="0"/>
                <w:snapToGrid/>
                <w:color w:val="000000"/>
                <w:sz w:val="21"/>
                <w:szCs w:val="21"/>
                <w:u w:val="none"/>
                <w:lang w:eastAsia="zh-CN"/>
              </w:rPr>
              <w:t>元/吨</w:t>
            </w:r>
          </w:p>
        </w:tc>
        <w:tc>
          <w:tcPr>
            <w:tcW w:w="1115" w:type="dxa"/>
            <w:vMerge w:val="restart"/>
            <w:tcBorders>
              <w:top w:val="single" w:color="auto" w:sz="4" w:space="0"/>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bCs w:val="0"/>
                <w:i w:val="0"/>
                <w:snapToGrid/>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1"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000000"/>
                <w:sz w:val="21"/>
                <w:szCs w:val="21"/>
                <w:u w:val="none"/>
                <w:lang w:eastAsia="zh-CN"/>
              </w:rPr>
            </w:pPr>
          </w:p>
        </w:tc>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20" w:firstLineChars="200"/>
              <w:jc w:val="left"/>
              <w:textAlignment w:val="center"/>
              <w:outlineLvl w:val="9"/>
              <w:rPr>
                <w:rFonts w:hint="eastAsia" w:ascii="宋体" w:hAnsi="宋体" w:eastAsia="宋体" w:cs="宋体"/>
                <w:b w:val="0"/>
                <w:i w:val="0"/>
                <w:snapToGrid/>
                <w:color w:val="000000"/>
                <w:sz w:val="21"/>
                <w:szCs w:val="21"/>
                <w:u w:val="none"/>
                <w:lang w:eastAsia="zh-CN"/>
              </w:rPr>
            </w:pPr>
            <w:r>
              <w:rPr>
                <w:rFonts w:hint="eastAsia" w:ascii="宋体" w:hAnsi="宋体" w:eastAsia="宋体" w:cs="宋体"/>
                <w:b w:val="0"/>
                <w:i w:val="0"/>
                <w:snapToGrid/>
                <w:color w:val="000000"/>
                <w:sz w:val="21"/>
                <w:szCs w:val="21"/>
                <w:u w:val="none"/>
                <w:lang w:eastAsia="zh-CN"/>
              </w:rPr>
              <w:t>移库倒垛及厂内零星铸管倒运装卸。</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约0.5</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val="en-US" w:eastAsia="zh-CN"/>
              </w:rPr>
            </w:pPr>
            <w:r>
              <w:rPr>
                <w:rFonts w:hint="eastAsia" w:ascii="宋体" w:hAnsi="宋体" w:cs="宋体"/>
                <w:b w:val="0"/>
                <w:i w:val="0"/>
                <w:snapToGrid/>
                <w:color w:val="auto"/>
                <w:sz w:val="21"/>
                <w:szCs w:val="21"/>
                <w:u w:val="none"/>
                <w:lang w:val="en-US" w:eastAsia="zh-CN"/>
              </w:rPr>
              <w:t>万吨/月</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c>
          <w:tcPr>
            <w:tcW w:w="1327" w:type="dxa"/>
            <w:vMerge w:val="continue"/>
            <w:tcBorders>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c>
          <w:tcPr>
            <w:tcW w:w="1115" w:type="dxa"/>
            <w:vMerge w:val="continue"/>
            <w:tcBorders>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4" w:hRule="atLeast"/>
          <w:jc w:val="center"/>
        </w:trPr>
        <w:tc>
          <w:tcPr>
            <w:tcW w:w="888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r>
              <w:rPr>
                <w:rFonts w:hint="eastAsia" w:ascii="宋体" w:hAnsi="宋体" w:cs="宋体"/>
                <w:b w:val="0"/>
                <w:i w:val="0"/>
                <w:snapToGrid/>
                <w:color w:val="auto"/>
                <w:sz w:val="21"/>
                <w:szCs w:val="21"/>
                <w:u w:val="none"/>
                <w:lang w:eastAsia="zh-CN"/>
              </w:rPr>
              <w:t>合</w:t>
            </w:r>
            <w:r>
              <w:rPr>
                <w:rFonts w:hint="eastAsia" w:ascii="宋体" w:hAnsi="宋体" w:cs="宋体"/>
                <w:b w:val="0"/>
                <w:i w:val="0"/>
                <w:snapToGrid/>
                <w:color w:val="auto"/>
                <w:sz w:val="21"/>
                <w:szCs w:val="21"/>
                <w:u w:val="none"/>
                <w:lang w:val="en-US" w:eastAsia="zh-CN"/>
              </w:rPr>
              <w:t xml:space="preserve">   </w:t>
            </w:r>
            <w:r>
              <w:rPr>
                <w:rFonts w:hint="eastAsia" w:ascii="宋体" w:hAnsi="宋体" w:cs="宋体"/>
                <w:b w:val="0"/>
                <w:i w:val="0"/>
                <w:snapToGrid/>
                <w:color w:val="auto"/>
                <w:sz w:val="21"/>
                <w:szCs w:val="21"/>
                <w:u w:val="none"/>
                <w:lang w:eastAsia="zh-CN"/>
              </w:rPr>
              <w:t>计</w:t>
            </w:r>
          </w:p>
        </w:tc>
        <w:tc>
          <w:tcPr>
            <w:tcW w:w="111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cs="宋体"/>
                <w:b w:val="0"/>
                <w:i w:val="0"/>
                <w:snapToGrid/>
                <w:color w:val="auto"/>
                <w:sz w:val="21"/>
                <w:szCs w:val="21"/>
                <w:u w:val="none"/>
                <w:lang w:eastAsia="zh-CN"/>
              </w:rPr>
            </w:pPr>
          </w:p>
        </w:tc>
      </w:tr>
    </w:tbl>
    <w:p>
      <w:pPr>
        <w:widowControl w:val="0"/>
        <w:numPr>
          <w:ilvl w:val="0"/>
          <w:numId w:val="0"/>
        </w:numPr>
        <w:spacing w:line="360" w:lineRule="auto"/>
        <w:jc w:val="both"/>
        <w:rPr>
          <w:rFonts w:hint="eastAsia" w:ascii="宋体" w:hAnsi="宋体" w:eastAsia="宋体" w:cs="宋体"/>
          <w:color w:val="auto"/>
          <w:kern w:val="2"/>
          <w:sz w:val="24"/>
          <w:szCs w:val="22"/>
          <w:lang w:val="en-US" w:eastAsia="zh-CN"/>
        </w:rPr>
      </w:pPr>
      <w:r>
        <w:rPr>
          <w:rFonts w:hint="eastAsia" w:ascii="宋体" w:hAnsi="宋体" w:cs="宋体"/>
          <w:color w:val="auto"/>
          <w:kern w:val="2"/>
          <w:sz w:val="24"/>
          <w:szCs w:val="22"/>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铸管入库倒运量以《财务月报》中实际发生数据（剔除修建部入库数据）；入库卸车、发运装车吊装量以《外库收发存日报》当月累计入库、当月累计出库数据（剔除修建部入库发运数据）为准。</w:t>
      </w:r>
      <w:r>
        <w:rPr>
          <w:rFonts w:hint="eastAsia" w:ascii="宋体" w:hAnsi="宋体" w:eastAsia="宋体" w:cs="宋体"/>
          <w:b w:val="0"/>
          <w:i w:val="0"/>
          <w:snapToGrid/>
          <w:color w:val="auto"/>
          <w:sz w:val="24"/>
          <w:szCs w:val="24"/>
          <w:u w:val="none"/>
          <w:lang w:eastAsia="zh-CN"/>
        </w:rPr>
        <w:t>移库倒垛及厂内零星铸管倒运</w:t>
      </w:r>
      <w:r>
        <w:rPr>
          <w:rFonts w:hint="eastAsia" w:ascii="宋体" w:hAnsi="宋体" w:eastAsia="宋体" w:cs="宋体"/>
          <w:color w:val="auto"/>
          <w:sz w:val="24"/>
          <w:szCs w:val="24"/>
          <w:lang w:val="en-US" w:eastAsia="zh-CN"/>
        </w:rPr>
        <w:t>结算数据以铸管外库倒垛明细为准。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如遇运输部组织车辆参与作业，则剔除相应的结算量。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临时用车使用时间不足一小时按一小时计算，超出一小时的据实结算。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3、运输部指定的临时铸管堆存点（甲方厂区道路、副楼前空地、三山港临时堆存区）均属库房。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val="0"/>
          <w:sz w:val="24"/>
          <w:szCs w:val="24"/>
          <w:lang w:val="en-US" w:eastAsia="zh-CN"/>
        </w:rPr>
      </w:pPr>
      <w:r>
        <w:rPr>
          <w:rFonts w:hint="eastAsia" w:ascii="宋体" w:hAnsi="宋体" w:cs="宋体"/>
          <w:color w:val="auto"/>
          <w:sz w:val="24"/>
          <w:szCs w:val="24"/>
          <w:lang w:val="en-US" w:eastAsia="zh-CN"/>
        </w:rPr>
        <w:t>4、报价表中预估量为参考量，结算费用以实际发生量为准。</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4</w:t>
      </w:r>
      <w:r>
        <w:rPr>
          <w:rFonts w:ascii="宋体" w:hAnsi="宋体"/>
          <w:color w:val="auto"/>
          <w:sz w:val="24"/>
          <w:szCs w:val="24"/>
        </w:rPr>
        <w:t>月</w:t>
      </w:r>
      <w:r>
        <w:rPr>
          <w:rFonts w:hint="eastAsia" w:ascii="宋体" w:hAnsi="宋体"/>
          <w:color w:val="auto"/>
          <w:sz w:val="24"/>
          <w:szCs w:val="24"/>
          <w:lang w:val="en-US" w:eastAsia="zh-CN"/>
        </w:rPr>
        <w:t>16</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bookmarkStart w:id="0" w:name="_GoBack"/>
      <w:bookmarkEnd w:id="0"/>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10772EB5"/>
    <w:rsid w:val="11DE5603"/>
    <w:rsid w:val="13BA318B"/>
    <w:rsid w:val="152B2857"/>
    <w:rsid w:val="16AA6B17"/>
    <w:rsid w:val="1C1D6140"/>
    <w:rsid w:val="1C28711D"/>
    <w:rsid w:val="1F415A0F"/>
    <w:rsid w:val="1FC61767"/>
    <w:rsid w:val="234F5E22"/>
    <w:rsid w:val="23F27268"/>
    <w:rsid w:val="252D19D6"/>
    <w:rsid w:val="25A87FB8"/>
    <w:rsid w:val="25F13BFC"/>
    <w:rsid w:val="2D230D73"/>
    <w:rsid w:val="2DFD089F"/>
    <w:rsid w:val="2E34761D"/>
    <w:rsid w:val="30033579"/>
    <w:rsid w:val="323F2693"/>
    <w:rsid w:val="34FF5DC8"/>
    <w:rsid w:val="390D4485"/>
    <w:rsid w:val="3A4B4F63"/>
    <w:rsid w:val="3C09736A"/>
    <w:rsid w:val="3F114200"/>
    <w:rsid w:val="41417945"/>
    <w:rsid w:val="41DB42F4"/>
    <w:rsid w:val="454E4D64"/>
    <w:rsid w:val="4C62699D"/>
    <w:rsid w:val="513C3EF8"/>
    <w:rsid w:val="53D27EE3"/>
    <w:rsid w:val="556B3A6A"/>
    <w:rsid w:val="589B3C10"/>
    <w:rsid w:val="5B2D6E0C"/>
    <w:rsid w:val="5DA113C7"/>
    <w:rsid w:val="5DA500D7"/>
    <w:rsid w:val="603E0EA5"/>
    <w:rsid w:val="607D1710"/>
    <w:rsid w:val="62CA5CF7"/>
    <w:rsid w:val="6D663618"/>
    <w:rsid w:val="71CE0F14"/>
    <w:rsid w:val="74965A4A"/>
    <w:rsid w:val="76892D68"/>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2021-04-16T07:26:44Z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