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b/>
          <w:sz w:val="52"/>
          <w:szCs w:val="52"/>
        </w:rPr>
      </w:pPr>
      <w:r>
        <w:rPr>
          <w:rFonts w:hint="eastAsia" w:ascii="黑体" w:eastAsia="黑体"/>
          <w:b/>
          <w:sz w:val="52"/>
          <w:szCs w:val="52"/>
        </w:rPr>
        <w:t>芜湖新兴铸管有限责任公司</w:t>
      </w:r>
    </w:p>
    <w:p>
      <w:pPr>
        <w:jc w:val="center"/>
      </w:pPr>
      <w:r>
        <w:rPr>
          <w:rFonts w:hint="eastAsia" w:ascii="黑体" w:eastAsia="黑体"/>
          <w:b/>
          <w:sz w:val="52"/>
          <w:szCs w:val="52"/>
          <w:lang w:eastAsia="zh-CN"/>
        </w:rPr>
        <w:t>变电站改造</w:t>
      </w:r>
      <w:r>
        <w:rPr>
          <w:rFonts w:hint="eastAsia" w:ascii="黑体" w:eastAsia="黑体"/>
          <w:b/>
          <w:sz w:val="52"/>
          <w:szCs w:val="52"/>
        </w:rPr>
        <w:t>工程设计</w:t>
      </w:r>
    </w:p>
    <w:p>
      <w:pPr>
        <w:jc w:val="center"/>
        <w:rPr>
          <w:rFonts w:ascii="黑体" w:eastAsia="黑体"/>
          <w:b/>
          <w:sz w:val="120"/>
          <w:szCs w:val="96"/>
        </w:rPr>
      </w:pPr>
    </w:p>
    <w:p>
      <w:pPr>
        <w:jc w:val="center"/>
        <w:rPr>
          <w:rFonts w:ascii="黑体" w:eastAsia="黑体"/>
          <w:b/>
          <w:sz w:val="120"/>
          <w:szCs w:val="96"/>
        </w:rPr>
      </w:pPr>
      <w:r>
        <w:rPr>
          <w:rFonts w:hint="eastAsia" w:ascii="黑体" w:eastAsia="黑体"/>
          <w:b/>
          <w:sz w:val="120"/>
          <w:szCs w:val="96"/>
        </w:rPr>
        <w:t>招</w:t>
      </w:r>
    </w:p>
    <w:p>
      <w:pPr>
        <w:jc w:val="center"/>
        <w:rPr>
          <w:rFonts w:ascii="黑体" w:eastAsia="黑体"/>
          <w:b/>
          <w:sz w:val="120"/>
          <w:szCs w:val="96"/>
        </w:rPr>
      </w:pPr>
      <w:r>
        <w:rPr>
          <w:rFonts w:hint="eastAsia" w:ascii="黑体" w:eastAsia="黑体"/>
          <w:b/>
          <w:sz w:val="120"/>
          <w:szCs w:val="96"/>
        </w:rPr>
        <w:t>标</w:t>
      </w:r>
    </w:p>
    <w:p>
      <w:pPr>
        <w:jc w:val="center"/>
        <w:rPr>
          <w:rFonts w:ascii="黑体" w:eastAsia="黑体"/>
          <w:b/>
          <w:sz w:val="120"/>
          <w:szCs w:val="96"/>
        </w:rPr>
      </w:pPr>
      <w:r>
        <w:rPr>
          <w:rFonts w:hint="eastAsia" w:ascii="黑体" w:eastAsia="黑体"/>
          <w:b/>
          <w:sz w:val="120"/>
          <w:szCs w:val="96"/>
        </w:rPr>
        <w:t>文</w:t>
      </w:r>
    </w:p>
    <w:p>
      <w:pPr>
        <w:jc w:val="center"/>
        <w:rPr>
          <w:rFonts w:ascii="黑体" w:eastAsia="黑体"/>
          <w:b/>
          <w:sz w:val="120"/>
          <w:szCs w:val="96"/>
        </w:rPr>
      </w:pPr>
      <w:r>
        <w:rPr>
          <w:rFonts w:hint="eastAsia" w:ascii="黑体" w:eastAsia="黑体"/>
          <w:b/>
          <w:sz w:val="120"/>
          <w:szCs w:val="96"/>
        </w:rPr>
        <w:t>件</w:t>
      </w:r>
    </w:p>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招标编号：WXSS-S15</w:t>
      </w:r>
      <w:r>
        <w:rPr>
          <w:rFonts w:hint="eastAsia" w:ascii="仿宋_GB2312" w:eastAsia="仿宋_GB2312"/>
          <w:b/>
          <w:sz w:val="32"/>
          <w:szCs w:val="32"/>
          <w:lang w:val="en-US" w:eastAsia="zh-CN"/>
        </w:rPr>
        <w:t>11</w:t>
      </w:r>
    </w:p>
    <w:p>
      <w:pPr>
        <w:jc w:val="center"/>
        <w:rPr>
          <w:rFonts w:ascii="黑体" w:eastAsia="黑体"/>
          <w:b/>
          <w:sz w:val="32"/>
          <w:szCs w:val="32"/>
        </w:rPr>
      </w:pPr>
    </w:p>
    <w:p>
      <w:pPr>
        <w:jc w:val="center"/>
        <w:rPr>
          <w:rFonts w:ascii="黑体" w:eastAsia="黑体"/>
          <w:b/>
          <w:sz w:val="32"/>
          <w:szCs w:val="32"/>
        </w:rPr>
      </w:pPr>
      <w:r>
        <w:rPr>
          <w:rFonts w:hint="eastAsia" w:ascii="黑体" w:eastAsia="黑体"/>
          <w:b/>
          <w:sz w:val="32"/>
          <w:szCs w:val="32"/>
        </w:rPr>
        <w:t>芜湖新兴铸管有限责任公司</w:t>
      </w:r>
    </w:p>
    <w:p>
      <w:pPr>
        <w:jc w:val="center"/>
        <w:rPr>
          <w:rFonts w:ascii="黑体" w:eastAsia="黑体"/>
          <w:b/>
          <w:sz w:val="32"/>
          <w:szCs w:val="32"/>
        </w:rPr>
      </w:pPr>
      <w:r>
        <w:rPr>
          <w:rFonts w:hint="eastAsia" w:ascii="黑体" w:eastAsia="黑体"/>
          <w:b/>
          <w:sz w:val="32"/>
          <w:szCs w:val="32"/>
        </w:rPr>
        <w:t>二零一五年</w:t>
      </w:r>
      <w:r>
        <w:rPr>
          <w:rFonts w:hint="eastAsia" w:ascii="黑体" w:eastAsia="黑体"/>
          <w:b/>
          <w:sz w:val="32"/>
          <w:szCs w:val="32"/>
          <w:lang w:eastAsia="zh-CN"/>
        </w:rPr>
        <w:t>十一</w:t>
      </w:r>
      <w:r>
        <w:rPr>
          <w:rFonts w:hint="eastAsia" w:ascii="黑体" w:eastAsia="黑体"/>
          <w:b/>
          <w:sz w:val="32"/>
          <w:szCs w:val="32"/>
        </w:rPr>
        <w:t>月</w:t>
      </w:r>
    </w:p>
    <w:p>
      <w:pPr>
        <w:jc w:val="center"/>
        <w:rPr>
          <w:rFonts w:ascii="黑体" w:eastAsia="黑体"/>
          <w:b/>
          <w:sz w:val="32"/>
          <w:szCs w:val="32"/>
        </w:rPr>
      </w:pPr>
    </w:p>
    <w:p>
      <w:pPr>
        <w:jc w:val="both"/>
        <w:rPr>
          <w:rFonts w:ascii="黑体" w:eastAsia="黑体"/>
          <w:sz w:val="44"/>
        </w:rPr>
      </w:pPr>
      <w:r>
        <w:rPr>
          <w:rFonts w:hint="eastAsia" w:ascii="黑体" w:eastAsia="黑体"/>
          <w:sz w:val="28"/>
          <w:szCs w:val="28"/>
          <w:lang w:val="en-US" w:eastAsia="zh-CN"/>
        </w:rPr>
        <w:t xml:space="preserve">     </w:t>
      </w:r>
      <w:r>
        <w:rPr>
          <w:rFonts w:hint="eastAsia" w:ascii="黑体" w:eastAsia="黑体"/>
          <w:sz w:val="28"/>
          <w:szCs w:val="28"/>
        </w:rPr>
        <w:t xml:space="preserve">编制：      </w:t>
      </w:r>
      <w:r>
        <w:rPr>
          <w:rFonts w:hint="eastAsia" w:ascii="黑体" w:eastAsia="黑体"/>
          <w:sz w:val="28"/>
          <w:szCs w:val="28"/>
          <w:lang w:val="en-US" w:eastAsia="zh-CN"/>
        </w:rPr>
        <w:t xml:space="preserve">  </w:t>
      </w:r>
      <w:r>
        <w:rPr>
          <w:rFonts w:hint="eastAsia" w:ascii="黑体" w:eastAsia="黑体"/>
          <w:sz w:val="28"/>
          <w:szCs w:val="28"/>
        </w:rPr>
        <w:t>审核：</w:t>
      </w:r>
      <w:r>
        <w:rPr>
          <w:rFonts w:hint="eastAsia" w:ascii="黑体" w:eastAsia="黑体"/>
          <w:sz w:val="28"/>
          <w:szCs w:val="28"/>
          <w:lang w:val="en-US" w:eastAsia="zh-CN"/>
        </w:rPr>
        <w:t xml:space="preserve"> </w:t>
      </w:r>
      <w:r>
        <w:rPr>
          <w:rFonts w:hint="eastAsia" w:ascii="黑体" w:eastAsia="黑体"/>
          <w:sz w:val="28"/>
          <w:szCs w:val="28"/>
        </w:rPr>
        <w:t xml:space="preserve">      项目负责：  </w:t>
      </w:r>
      <w:r>
        <w:rPr>
          <w:rFonts w:hint="eastAsia" w:ascii="黑体" w:eastAsia="黑体"/>
          <w:sz w:val="28"/>
          <w:szCs w:val="28"/>
          <w:lang w:val="en-US" w:eastAsia="zh-CN"/>
        </w:rPr>
        <w:t xml:space="preserve"> </w:t>
      </w:r>
      <w:r>
        <w:rPr>
          <w:rFonts w:hint="eastAsia" w:ascii="黑体" w:eastAsia="黑体"/>
          <w:sz w:val="28"/>
          <w:szCs w:val="28"/>
        </w:rPr>
        <w:t xml:space="preserve">    批准：</w:t>
      </w:r>
      <w:r>
        <w:rPr>
          <w:rFonts w:hint="eastAsia" w:ascii="黑体" w:eastAsia="黑体"/>
          <w:sz w:val="44"/>
        </w:rPr>
        <w:br w:type="page"/>
      </w:r>
      <w:r>
        <w:rPr>
          <w:rFonts w:hint="eastAsia" w:ascii="黑体" w:eastAsia="黑体"/>
          <w:sz w:val="44"/>
        </w:rPr>
        <w:t>目  录</w:t>
      </w:r>
    </w:p>
    <w:p>
      <w:pPr>
        <w:rPr>
          <w:rFonts w:ascii="楷体_GB2312" w:eastAsia="楷体_GB2312"/>
        </w:rPr>
      </w:pPr>
    </w:p>
    <w:p>
      <w:pPr>
        <w:pStyle w:val="13"/>
        <w:tabs>
          <w:tab w:val="right" w:leader="dot" w:pos="8787"/>
        </w:tabs>
        <w:spacing w:line="480" w:lineRule="auto"/>
        <w:rPr>
          <w:rFonts w:ascii="Times New Roman" w:hAnsi="Times New Roman" w:eastAsia="宋体" w:cs="Times New Roman"/>
          <w:kern w:val="2"/>
          <w:sz w:val="28"/>
          <w:szCs w:val="28"/>
          <w:lang w:val="en-US" w:eastAsia="zh-CN" w:bidi="ar-SA"/>
        </w:rPr>
      </w:pPr>
      <w:r>
        <w:rPr>
          <w:rFonts w:hint="eastAsia" w:ascii="黑体" w:eastAsia="黑体"/>
          <w:sz w:val="28"/>
          <w:szCs w:val="28"/>
        </w:rPr>
        <w:fldChar w:fldCharType="begin"/>
      </w:r>
      <w:r>
        <w:rPr>
          <w:rFonts w:hint="eastAsia" w:ascii="黑体" w:eastAsia="黑体"/>
          <w:sz w:val="28"/>
          <w:szCs w:val="28"/>
        </w:rPr>
        <w:instrText xml:space="preserve">TOC \o "1-1" \h  \u </w:instrText>
      </w:r>
      <w:r>
        <w:rPr>
          <w:rFonts w:hint="eastAsia" w:ascii="黑体" w:eastAsia="黑体"/>
          <w:sz w:val="28"/>
          <w:szCs w:val="28"/>
        </w:rPr>
        <w:fldChar w:fldCharType="separate"/>
      </w:r>
      <w:r>
        <w:rPr>
          <w:rFonts w:hint="eastAsia" w:ascii="黑体" w:hAnsi="Times New Roman" w:eastAsia="黑体" w:cs="Times New Roman"/>
          <w:kern w:val="2"/>
          <w:sz w:val="28"/>
          <w:szCs w:val="28"/>
          <w:lang w:val="en-US" w:eastAsia="zh-CN" w:bidi="ar-SA"/>
        </w:rPr>
        <w:fldChar w:fldCharType="begin"/>
      </w:r>
      <w:r>
        <w:rPr>
          <w:rFonts w:hint="eastAsia" w:ascii="黑体" w:hAnsi="Times New Roman" w:eastAsia="黑体" w:cs="Times New Roman"/>
          <w:kern w:val="2"/>
          <w:sz w:val="28"/>
          <w:szCs w:val="28"/>
          <w:lang w:val="en-US" w:eastAsia="zh-CN" w:bidi="ar-SA"/>
        </w:rPr>
        <w:instrText xml:space="preserve"> HYPERLINK \l _Toc12240 </w:instrText>
      </w:r>
      <w:r>
        <w:rPr>
          <w:rFonts w:hint="eastAsia" w:ascii="黑体" w:hAnsi="Times New Roman" w:eastAsia="黑体" w:cs="Times New Roman"/>
          <w:kern w:val="2"/>
          <w:sz w:val="28"/>
          <w:szCs w:val="28"/>
          <w:lang w:val="en-US" w:eastAsia="zh-CN" w:bidi="ar-SA"/>
        </w:rPr>
        <w:fldChar w:fldCharType="separate"/>
      </w:r>
      <w:r>
        <w:rPr>
          <w:rFonts w:hint="eastAsia" w:ascii="黑体" w:hAnsi="Times New Roman" w:eastAsia="黑体" w:cs="Times New Roman"/>
          <w:kern w:val="2"/>
          <w:sz w:val="28"/>
          <w:szCs w:val="28"/>
          <w:lang w:val="en-US" w:eastAsia="zh-CN" w:bidi="ar-SA"/>
        </w:rPr>
        <w:t>第一部分   投标</w:t>
      </w:r>
      <w:r>
        <w:rPr>
          <w:rFonts w:hint="eastAsia" w:ascii="黑体" w:eastAsia="黑体" w:cs="Times New Roman"/>
          <w:kern w:val="2"/>
          <w:sz w:val="28"/>
          <w:szCs w:val="28"/>
          <w:lang w:val="en-US" w:eastAsia="zh-CN" w:bidi="ar-SA"/>
        </w:rPr>
        <w:t>公示</w:t>
      </w:r>
      <w:r>
        <w:rPr>
          <w:rFonts w:ascii="Times New Roman" w:hAnsi="Times New Roman" w:eastAsia="宋体" w:cs="Times New Roman"/>
          <w:kern w:val="2"/>
          <w:sz w:val="28"/>
          <w:szCs w:val="28"/>
          <w:lang w:val="en-US" w:eastAsia="zh-CN" w:bidi="ar-SA"/>
        </w:rPr>
        <w:tab/>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PAGEREF _Toc12240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hint="eastAsia" w:ascii="黑体" w:hAnsi="Times New Roman" w:eastAsia="黑体" w:cs="Times New Roman"/>
          <w:kern w:val="2"/>
          <w:sz w:val="28"/>
          <w:szCs w:val="28"/>
          <w:lang w:val="en-US" w:eastAsia="zh-CN" w:bidi="ar-SA"/>
        </w:rPr>
        <w:fldChar w:fldCharType="end"/>
      </w:r>
    </w:p>
    <w:p>
      <w:pPr>
        <w:pStyle w:val="13"/>
        <w:tabs>
          <w:tab w:val="right" w:leader="dot" w:pos="8787"/>
        </w:tabs>
        <w:spacing w:line="480" w:lineRule="auto"/>
        <w:rPr>
          <w:rFonts w:ascii="Times New Roman" w:hAnsi="Times New Roman" w:eastAsia="宋体"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fldChar w:fldCharType="begin"/>
      </w:r>
      <w:r>
        <w:rPr>
          <w:rFonts w:hint="eastAsia" w:ascii="黑体" w:hAnsi="Times New Roman" w:eastAsia="黑体" w:cs="Times New Roman"/>
          <w:kern w:val="2"/>
          <w:sz w:val="28"/>
          <w:szCs w:val="28"/>
          <w:lang w:val="en-US" w:eastAsia="zh-CN" w:bidi="ar-SA"/>
        </w:rPr>
        <w:instrText xml:space="preserve"> HYPERLINK \l _Toc32464 </w:instrText>
      </w:r>
      <w:r>
        <w:rPr>
          <w:rFonts w:hint="eastAsia" w:ascii="黑体" w:hAnsi="Times New Roman" w:eastAsia="黑体" w:cs="Times New Roman"/>
          <w:kern w:val="2"/>
          <w:sz w:val="28"/>
          <w:szCs w:val="28"/>
          <w:lang w:val="en-US" w:eastAsia="zh-CN" w:bidi="ar-SA"/>
        </w:rPr>
        <w:fldChar w:fldCharType="separate"/>
      </w:r>
      <w:r>
        <w:rPr>
          <w:rFonts w:hint="eastAsia" w:ascii="黑体" w:hAnsi="Times New Roman" w:eastAsia="黑体" w:cs="Times New Roman"/>
          <w:kern w:val="2"/>
          <w:sz w:val="28"/>
          <w:szCs w:val="28"/>
          <w:lang w:val="en-US" w:eastAsia="zh-CN" w:bidi="ar-SA"/>
        </w:rPr>
        <w:t>第二部分   投标人须知</w:t>
      </w:r>
      <w:r>
        <w:rPr>
          <w:rFonts w:ascii="Times New Roman" w:hAnsi="Times New Roman" w:eastAsia="宋体" w:cs="Times New Roman"/>
          <w:kern w:val="2"/>
          <w:sz w:val="28"/>
          <w:szCs w:val="28"/>
          <w:lang w:val="en-US" w:eastAsia="zh-CN" w:bidi="ar-SA"/>
        </w:rPr>
        <w:tab/>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PAGEREF _Toc32464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3</w:t>
      </w:r>
      <w:r>
        <w:rPr>
          <w:rFonts w:ascii="Times New Roman" w:hAnsi="Times New Roman" w:eastAsia="宋体" w:cs="Times New Roman"/>
          <w:kern w:val="2"/>
          <w:sz w:val="28"/>
          <w:szCs w:val="28"/>
          <w:lang w:val="en-US" w:eastAsia="zh-CN" w:bidi="ar-SA"/>
        </w:rPr>
        <w:fldChar w:fldCharType="end"/>
      </w:r>
      <w:r>
        <w:rPr>
          <w:rFonts w:hint="eastAsia" w:ascii="黑体" w:hAnsi="Times New Roman" w:eastAsia="黑体" w:cs="Times New Roman"/>
          <w:kern w:val="2"/>
          <w:sz w:val="28"/>
          <w:szCs w:val="28"/>
          <w:lang w:val="en-US" w:eastAsia="zh-CN" w:bidi="ar-SA"/>
        </w:rPr>
        <w:fldChar w:fldCharType="end"/>
      </w:r>
    </w:p>
    <w:p>
      <w:pPr>
        <w:pStyle w:val="13"/>
        <w:tabs>
          <w:tab w:val="right" w:leader="dot" w:pos="8787"/>
        </w:tabs>
        <w:spacing w:line="480" w:lineRule="auto"/>
        <w:rPr>
          <w:rFonts w:ascii="Times New Roman" w:hAnsi="Times New Roman" w:eastAsia="宋体"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fldChar w:fldCharType="begin"/>
      </w:r>
      <w:r>
        <w:rPr>
          <w:rFonts w:hint="eastAsia" w:ascii="黑体" w:hAnsi="Times New Roman" w:eastAsia="黑体" w:cs="Times New Roman"/>
          <w:kern w:val="2"/>
          <w:sz w:val="28"/>
          <w:szCs w:val="28"/>
          <w:lang w:val="en-US" w:eastAsia="zh-CN" w:bidi="ar-SA"/>
        </w:rPr>
        <w:instrText xml:space="preserve"> HYPERLINK \l _Toc19223 </w:instrText>
      </w:r>
      <w:r>
        <w:rPr>
          <w:rFonts w:hint="eastAsia" w:ascii="黑体" w:hAnsi="Times New Roman" w:eastAsia="黑体" w:cs="Times New Roman"/>
          <w:kern w:val="2"/>
          <w:sz w:val="28"/>
          <w:szCs w:val="28"/>
          <w:lang w:val="en-US" w:eastAsia="zh-CN" w:bidi="ar-SA"/>
        </w:rPr>
        <w:fldChar w:fldCharType="separate"/>
      </w:r>
      <w:r>
        <w:rPr>
          <w:rFonts w:hint="eastAsia" w:ascii="黑体" w:hAnsi="Times New Roman" w:eastAsia="黑体" w:cs="Times New Roman"/>
          <w:kern w:val="2"/>
          <w:sz w:val="28"/>
          <w:szCs w:val="28"/>
          <w:lang w:val="en-US" w:eastAsia="zh-CN" w:bidi="ar-SA"/>
        </w:rPr>
        <w:t>第三部分   项目技术要求及工程设计规范</w:t>
      </w:r>
      <w:r>
        <w:rPr>
          <w:rFonts w:ascii="Times New Roman" w:hAnsi="Times New Roman" w:eastAsia="宋体" w:cs="Times New Roman"/>
          <w:kern w:val="2"/>
          <w:sz w:val="28"/>
          <w:szCs w:val="28"/>
          <w:lang w:val="en-US" w:eastAsia="zh-CN" w:bidi="ar-SA"/>
        </w:rPr>
        <w:tab/>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PAGEREF _Toc19223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9</w:t>
      </w:r>
      <w:r>
        <w:rPr>
          <w:rFonts w:ascii="Times New Roman" w:hAnsi="Times New Roman" w:eastAsia="宋体" w:cs="Times New Roman"/>
          <w:kern w:val="2"/>
          <w:sz w:val="28"/>
          <w:szCs w:val="28"/>
          <w:lang w:val="en-US" w:eastAsia="zh-CN" w:bidi="ar-SA"/>
        </w:rPr>
        <w:fldChar w:fldCharType="end"/>
      </w:r>
      <w:r>
        <w:rPr>
          <w:rFonts w:hint="eastAsia" w:ascii="黑体" w:hAnsi="Times New Roman" w:eastAsia="黑体" w:cs="Times New Roman"/>
          <w:kern w:val="2"/>
          <w:sz w:val="28"/>
          <w:szCs w:val="28"/>
          <w:lang w:val="en-US" w:eastAsia="zh-CN" w:bidi="ar-SA"/>
        </w:rPr>
        <w:fldChar w:fldCharType="end"/>
      </w:r>
    </w:p>
    <w:p>
      <w:pPr>
        <w:pStyle w:val="13"/>
        <w:tabs>
          <w:tab w:val="right" w:leader="dot" w:pos="8787"/>
        </w:tabs>
        <w:spacing w:line="480" w:lineRule="auto"/>
        <w:rPr>
          <w:rFonts w:ascii="Times New Roman" w:hAnsi="Times New Roman" w:eastAsia="宋体"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fldChar w:fldCharType="begin"/>
      </w:r>
      <w:r>
        <w:rPr>
          <w:rFonts w:hint="eastAsia" w:ascii="黑体" w:hAnsi="Times New Roman" w:eastAsia="黑体" w:cs="Times New Roman"/>
          <w:kern w:val="2"/>
          <w:sz w:val="28"/>
          <w:szCs w:val="28"/>
          <w:lang w:val="en-US" w:eastAsia="zh-CN" w:bidi="ar-SA"/>
        </w:rPr>
        <w:instrText xml:space="preserve"> HYPERLINK \l _Toc22434 </w:instrText>
      </w:r>
      <w:r>
        <w:rPr>
          <w:rFonts w:hint="eastAsia" w:ascii="黑体" w:hAnsi="Times New Roman" w:eastAsia="黑体" w:cs="Times New Roman"/>
          <w:kern w:val="2"/>
          <w:sz w:val="28"/>
          <w:szCs w:val="28"/>
          <w:lang w:val="en-US" w:eastAsia="zh-CN" w:bidi="ar-SA"/>
        </w:rPr>
        <w:fldChar w:fldCharType="separate"/>
      </w:r>
      <w:r>
        <w:rPr>
          <w:rFonts w:hint="eastAsia" w:ascii="黑体" w:hAnsi="Times New Roman" w:eastAsia="黑体" w:cs="Times New Roman"/>
          <w:kern w:val="2"/>
          <w:sz w:val="28"/>
          <w:szCs w:val="28"/>
          <w:lang w:val="en-US" w:eastAsia="zh-CN" w:bidi="ar-SA"/>
        </w:rPr>
        <w:t>第四部分   投标文件的组成</w:t>
      </w:r>
      <w:r>
        <w:rPr>
          <w:rFonts w:ascii="Times New Roman" w:hAnsi="Times New Roman" w:eastAsia="宋体" w:cs="Times New Roman"/>
          <w:kern w:val="2"/>
          <w:sz w:val="28"/>
          <w:szCs w:val="28"/>
          <w:lang w:val="en-US" w:eastAsia="zh-CN" w:bidi="ar-SA"/>
        </w:rPr>
        <w:tab/>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PAGEREF _Toc22434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19</w:t>
      </w:r>
      <w:r>
        <w:rPr>
          <w:rFonts w:ascii="Times New Roman" w:hAnsi="Times New Roman" w:eastAsia="宋体" w:cs="Times New Roman"/>
          <w:kern w:val="2"/>
          <w:sz w:val="28"/>
          <w:szCs w:val="28"/>
          <w:lang w:val="en-US" w:eastAsia="zh-CN" w:bidi="ar-SA"/>
        </w:rPr>
        <w:fldChar w:fldCharType="end"/>
      </w:r>
      <w:r>
        <w:rPr>
          <w:rFonts w:hint="eastAsia" w:ascii="黑体" w:hAnsi="Times New Roman" w:eastAsia="黑体" w:cs="Times New Roman"/>
          <w:kern w:val="2"/>
          <w:sz w:val="28"/>
          <w:szCs w:val="28"/>
          <w:lang w:val="en-US" w:eastAsia="zh-CN" w:bidi="ar-SA"/>
        </w:rPr>
        <w:fldChar w:fldCharType="end"/>
      </w:r>
    </w:p>
    <w:p>
      <w:pPr>
        <w:pStyle w:val="13"/>
        <w:tabs>
          <w:tab w:val="right" w:leader="dot" w:pos="8787"/>
        </w:tabs>
        <w:spacing w:line="480" w:lineRule="auto"/>
        <w:rPr>
          <w:rFonts w:ascii="Times New Roman" w:hAnsi="Times New Roman" w:eastAsia="宋体"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fldChar w:fldCharType="begin"/>
      </w:r>
      <w:r>
        <w:rPr>
          <w:rFonts w:hint="eastAsia" w:ascii="黑体" w:hAnsi="Times New Roman" w:eastAsia="黑体" w:cs="Times New Roman"/>
          <w:kern w:val="2"/>
          <w:sz w:val="28"/>
          <w:szCs w:val="28"/>
          <w:lang w:val="en-US" w:eastAsia="zh-CN" w:bidi="ar-SA"/>
        </w:rPr>
        <w:instrText xml:space="preserve"> HYPERLINK \l _Toc18002 </w:instrText>
      </w:r>
      <w:r>
        <w:rPr>
          <w:rFonts w:hint="eastAsia" w:ascii="黑体" w:hAnsi="Times New Roman" w:eastAsia="黑体" w:cs="Times New Roman"/>
          <w:kern w:val="2"/>
          <w:sz w:val="28"/>
          <w:szCs w:val="28"/>
          <w:lang w:val="en-US" w:eastAsia="zh-CN" w:bidi="ar-SA"/>
        </w:rPr>
        <w:fldChar w:fldCharType="separate"/>
      </w:r>
      <w:r>
        <w:rPr>
          <w:rFonts w:hint="eastAsia" w:ascii="黑体" w:hAnsi="Times New Roman" w:eastAsia="黑体" w:cs="Times New Roman"/>
          <w:kern w:val="2"/>
          <w:sz w:val="28"/>
          <w:szCs w:val="28"/>
          <w:lang w:val="en-US" w:eastAsia="zh-CN" w:bidi="ar-SA"/>
        </w:rPr>
        <w:t>第五部分   评标办法</w:t>
      </w:r>
      <w:r>
        <w:rPr>
          <w:rFonts w:ascii="Times New Roman" w:hAnsi="Times New Roman" w:eastAsia="宋体" w:cs="Times New Roman"/>
          <w:kern w:val="2"/>
          <w:sz w:val="28"/>
          <w:szCs w:val="28"/>
          <w:lang w:val="en-US" w:eastAsia="zh-CN" w:bidi="ar-SA"/>
        </w:rPr>
        <w:tab/>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PAGEREF _Toc18002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21</w:t>
      </w:r>
      <w:r>
        <w:rPr>
          <w:rFonts w:ascii="Times New Roman" w:hAnsi="Times New Roman" w:eastAsia="宋体" w:cs="Times New Roman"/>
          <w:kern w:val="2"/>
          <w:sz w:val="28"/>
          <w:szCs w:val="28"/>
          <w:lang w:val="en-US" w:eastAsia="zh-CN" w:bidi="ar-SA"/>
        </w:rPr>
        <w:fldChar w:fldCharType="end"/>
      </w:r>
      <w:r>
        <w:rPr>
          <w:rFonts w:hint="eastAsia" w:ascii="黑体" w:hAnsi="Times New Roman" w:eastAsia="黑体" w:cs="Times New Roman"/>
          <w:kern w:val="2"/>
          <w:sz w:val="28"/>
          <w:szCs w:val="28"/>
          <w:lang w:val="en-US" w:eastAsia="zh-CN" w:bidi="ar-SA"/>
        </w:rPr>
        <w:fldChar w:fldCharType="end"/>
      </w:r>
    </w:p>
    <w:p>
      <w:pPr>
        <w:spacing w:line="480" w:lineRule="auto"/>
        <w:jc w:val="center"/>
        <w:rPr>
          <w:rFonts w:ascii="黑体" w:eastAsia="黑体"/>
          <w:sz w:val="32"/>
          <w:szCs w:val="32"/>
        </w:rPr>
      </w:pPr>
      <w:r>
        <w:rPr>
          <w:rFonts w:hint="eastAsia" w:ascii="黑体" w:hAnsi="Times New Roman" w:eastAsia="黑体" w:cs="Times New Roman"/>
          <w:kern w:val="2"/>
          <w:sz w:val="28"/>
          <w:szCs w:val="28"/>
          <w:lang w:val="en-US" w:eastAsia="zh-CN" w:bidi="ar-SA"/>
        </w:rPr>
        <w:fldChar w:fldCharType="end"/>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sectPr>
          <w:footerReference r:id="rId4" w:type="default"/>
          <w:footerReference r:id="rId5" w:type="even"/>
          <w:pgSz w:w="11906" w:h="16838"/>
          <w:pgMar w:top="1418" w:right="1418" w:bottom="1418" w:left="1701" w:header="851" w:footer="992" w:gutter="0"/>
          <w:pgNumType w:fmt="numberInDash" w:start="1"/>
          <w:cols w:space="720" w:num="1"/>
          <w:titlePg/>
          <w:docGrid w:type="lines" w:linePitch="312"/>
        </w:sectPr>
      </w:pPr>
    </w:p>
    <w:p>
      <w:pPr>
        <w:spacing w:line="400" w:lineRule="exact"/>
        <w:jc w:val="center"/>
        <w:outlineLvl w:val="0"/>
        <w:rPr>
          <w:rFonts w:ascii="黑体" w:eastAsia="黑体"/>
          <w:sz w:val="32"/>
          <w:szCs w:val="32"/>
        </w:rPr>
      </w:pPr>
      <w:bookmarkStart w:id="0" w:name="_Toc12240"/>
      <w:r>
        <w:rPr>
          <w:rFonts w:hint="eastAsia" w:ascii="黑体" w:eastAsia="黑体"/>
          <w:sz w:val="32"/>
          <w:szCs w:val="32"/>
        </w:rPr>
        <w:t>第</w:t>
      </w:r>
      <w:r>
        <w:rPr>
          <w:rFonts w:hint="eastAsia" w:ascii="黑体" w:eastAsia="黑体"/>
          <w:sz w:val="32"/>
          <w:szCs w:val="32"/>
          <w:lang w:eastAsia="zh-CN"/>
        </w:rPr>
        <w:t>一</w:t>
      </w:r>
      <w:r>
        <w:rPr>
          <w:rFonts w:hint="eastAsia" w:ascii="黑体" w:eastAsia="黑体"/>
          <w:sz w:val="32"/>
          <w:szCs w:val="32"/>
        </w:rPr>
        <w:t>部分   投标</w:t>
      </w:r>
      <w:bookmarkEnd w:id="0"/>
      <w:r>
        <w:rPr>
          <w:rFonts w:hint="eastAsia" w:ascii="黑体" w:eastAsia="黑体"/>
          <w:sz w:val="32"/>
          <w:szCs w:val="32"/>
          <w:lang w:eastAsia="zh-CN"/>
        </w:rPr>
        <w:t>公示</w:t>
      </w:r>
    </w:p>
    <w:p>
      <w:pPr>
        <w:spacing w:line="400" w:lineRule="exact"/>
        <w:rPr>
          <w:rFonts w:ascii="黑体" w:eastAsia="黑体"/>
          <w:sz w:val="32"/>
          <w:szCs w:val="32"/>
        </w:rPr>
      </w:pPr>
    </w:p>
    <w:p>
      <w:pPr>
        <w:spacing w:before="240" w:line="360" w:lineRule="auto"/>
        <w:ind w:firstLine="480"/>
        <w:rPr>
          <w:rFonts w:ascii="仿宋_GB2312" w:eastAsia="仿宋_GB2312"/>
          <w:sz w:val="24"/>
        </w:rPr>
      </w:pPr>
      <w:r>
        <w:rPr>
          <w:rFonts w:hint="eastAsia" w:ascii="仿宋_GB2312" w:hAnsi="宋体" w:eastAsia="仿宋_GB2312"/>
          <w:sz w:val="24"/>
        </w:rPr>
        <w:t>芜湖新兴铸管有限责任公司为新兴铸管股份有限公司的全资子公司。主要产品为离心球墨铸铁管、钢铁冶炼及压延加工、铸造制品等。目前，公司通过各项技术改造和新项目的不断建设，已形成年产生铁170万吨、球墨铸管50万吨、200万吨钢管坯和轧材的生产规模。公司“十二五”规划已制定了“建设世界一流的制造用钢及管业生产基地”的发展目标，公司在继续做好、做强现有产品的同时，继续延伸产业链，向大型铸锻件、薄钢带连铸连轧、合金棒材、焊管等领域拓展。为响应国家城市钢厂搬迁的号召，落实《安徽省钢铁产业调整和振兴规划》的要求，淘汰目前的落后产能，调整产品结构，进一步提升环保水平，公司拟整体搬迁至芜湖市三山区临江工业园内，建设烧结、焦化、炼铁、炼钢连铸、轧钢以及公辅设施等全套工序。本案要求根据</w:t>
      </w:r>
      <w:r>
        <w:rPr>
          <w:rFonts w:hint="eastAsia" w:ascii="仿宋_GB2312" w:hAnsi="宋体" w:eastAsia="仿宋_GB2312"/>
          <w:sz w:val="24"/>
          <w:lang w:eastAsia="zh-CN"/>
        </w:rPr>
        <w:t>现有变电站</w:t>
      </w:r>
      <w:r>
        <w:rPr>
          <w:rFonts w:hint="eastAsia" w:ascii="仿宋_GB2312" w:hAnsi="宋体" w:eastAsia="仿宋_GB2312"/>
          <w:sz w:val="24"/>
        </w:rPr>
        <w:t>，</w:t>
      </w:r>
      <w:r>
        <w:rPr>
          <w:rFonts w:hint="eastAsia" w:ascii="仿宋_GB2312" w:hAnsi="宋体" w:eastAsia="仿宋_GB2312"/>
          <w:sz w:val="24"/>
          <w:lang w:eastAsia="zh-CN"/>
        </w:rPr>
        <w:t>针对新增</w:t>
      </w:r>
      <w:r>
        <w:rPr>
          <w:rFonts w:hint="eastAsia" w:ascii="仿宋_GB2312" w:hAnsi="宋体" w:eastAsia="仿宋_GB2312"/>
          <w:sz w:val="24"/>
          <w:lang w:val="en-US" w:eastAsia="zh-CN"/>
        </w:rPr>
        <w:t>65MW机组接入进行合理改造</w:t>
      </w:r>
      <w:r>
        <w:rPr>
          <w:rFonts w:hint="eastAsia" w:ascii="仿宋_GB2312" w:hAnsi="宋体" w:eastAsia="仿宋_GB2312"/>
          <w:sz w:val="24"/>
        </w:rPr>
        <w:t>设计，并对</w:t>
      </w:r>
      <w:r>
        <w:rPr>
          <w:rFonts w:hint="eastAsia" w:ascii="仿宋_GB2312" w:hAnsi="宋体" w:eastAsia="仿宋_GB2312"/>
          <w:sz w:val="24"/>
          <w:lang w:eastAsia="zh-CN"/>
        </w:rPr>
        <w:t>方案的相关评审工作负责</w:t>
      </w:r>
      <w:r>
        <w:rPr>
          <w:rFonts w:hint="eastAsia" w:ascii="仿宋_GB2312" w:hAnsi="宋体" w:eastAsia="仿宋_GB2312"/>
          <w:sz w:val="24"/>
        </w:rPr>
        <w:t>。</w:t>
      </w:r>
      <w:r>
        <w:rPr>
          <w:rFonts w:hint="eastAsia" w:ascii="仿宋_GB2312" w:eastAsia="仿宋_GB2312"/>
          <w:sz w:val="24"/>
        </w:rPr>
        <w:t>本次招标采用</w:t>
      </w:r>
      <w:r>
        <w:rPr>
          <w:rFonts w:hint="eastAsia" w:ascii="仿宋_GB2312" w:eastAsia="仿宋_GB2312"/>
          <w:sz w:val="24"/>
          <w:lang w:eastAsia="zh-CN"/>
        </w:rPr>
        <w:t>公开招标方式</w:t>
      </w:r>
      <w:r>
        <w:rPr>
          <w:rFonts w:hint="eastAsia" w:ascii="仿宋_GB2312" w:eastAsia="仿宋_GB2312"/>
          <w:sz w:val="24"/>
        </w:rPr>
        <w:t>选择设计人，</w:t>
      </w:r>
      <w:r>
        <w:rPr>
          <w:rFonts w:hint="eastAsia" w:ascii="仿宋_GB2312" w:eastAsia="仿宋_GB2312"/>
          <w:sz w:val="24"/>
          <w:lang w:eastAsia="zh-CN"/>
        </w:rPr>
        <w:t>望</w:t>
      </w:r>
      <w:r>
        <w:rPr>
          <w:rFonts w:hint="eastAsia" w:ascii="仿宋_GB2312" w:eastAsia="仿宋_GB2312"/>
          <w:sz w:val="24"/>
        </w:rPr>
        <w:t>具有承接本招标项目的相应资质及能力并有意参加投标，请持投标</w:t>
      </w:r>
      <w:r>
        <w:rPr>
          <w:rFonts w:hint="eastAsia" w:ascii="仿宋_GB2312" w:eastAsia="仿宋_GB2312"/>
          <w:sz w:val="24"/>
          <w:lang w:eastAsia="zh-CN"/>
        </w:rPr>
        <w:t>规格书</w:t>
      </w:r>
      <w:r>
        <w:rPr>
          <w:rFonts w:hint="eastAsia" w:ascii="仿宋_GB2312" w:eastAsia="仿宋_GB2312"/>
          <w:sz w:val="24"/>
        </w:rPr>
        <w:t>书到芜湖新兴铸管有限责任公司在规定时间内按照要求（见附表）进行设计投标。</w:t>
      </w:r>
    </w:p>
    <w:p>
      <w:pPr>
        <w:spacing w:line="360" w:lineRule="auto"/>
        <w:ind w:right="-514" w:rightChars="-245"/>
        <w:rPr>
          <w:rFonts w:ascii="仿宋_GB2312" w:hAnsi="宋体" w:eastAsia="仿宋_GB2312"/>
          <w:sz w:val="24"/>
          <w:szCs w:val="44"/>
        </w:rPr>
      </w:pPr>
      <w:r>
        <w:rPr>
          <w:rFonts w:hint="eastAsia" w:ascii="仿宋_GB2312" w:eastAsia="仿宋_GB2312"/>
          <w:sz w:val="24"/>
        </w:rPr>
        <w:t>1．项目名称：</w:t>
      </w:r>
      <w:r>
        <w:rPr>
          <w:rFonts w:hint="eastAsia" w:ascii="仿宋_GB2312" w:hAnsi="宋体" w:eastAsia="仿宋_GB2312"/>
          <w:sz w:val="24"/>
        </w:rPr>
        <w:t>芜湖新兴铸管</w:t>
      </w:r>
      <w:r>
        <w:rPr>
          <w:rFonts w:hint="eastAsia" w:ascii="仿宋_GB2312" w:hAnsi="宋体" w:eastAsia="仿宋_GB2312"/>
          <w:sz w:val="24"/>
          <w:lang w:eastAsia="zh-CN"/>
        </w:rPr>
        <w:t>变电站改造</w:t>
      </w:r>
      <w:r>
        <w:rPr>
          <w:rFonts w:hint="eastAsia" w:ascii="仿宋_GB2312" w:hAnsi="宋体" w:eastAsia="仿宋_GB2312"/>
          <w:sz w:val="24"/>
        </w:rPr>
        <w:t>工程</w:t>
      </w:r>
      <w:r>
        <w:rPr>
          <w:rFonts w:hint="eastAsia" w:ascii="仿宋_GB2312" w:hAnsi="宋体" w:eastAsia="仿宋_GB2312"/>
          <w:sz w:val="24"/>
          <w:szCs w:val="44"/>
        </w:rPr>
        <w:t>设计</w:t>
      </w:r>
    </w:p>
    <w:p>
      <w:pPr>
        <w:spacing w:line="360" w:lineRule="auto"/>
        <w:ind w:right="-514" w:rightChars="-245"/>
        <w:rPr>
          <w:rFonts w:ascii="仿宋_GB2312" w:eastAsia="仿宋_GB2312"/>
          <w:sz w:val="24"/>
        </w:rPr>
      </w:pPr>
      <w:r>
        <w:rPr>
          <w:rFonts w:hint="eastAsia" w:ascii="仿宋_GB2312" w:eastAsia="仿宋_GB2312"/>
          <w:sz w:val="24"/>
        </w:rPr>
        <w:t>2．招标范围及要求：</w:t>
      </w:r>
    </w:p>
    <w:p>
      <w:pPr>
        <w:spacing w:line="360" w:lineRule="auto"/>
        <w:ind w:firstLine="482"/>
        <w:rPr>
          <w:rFonts w:ascii="仿宋_GB2312" w:eastAsia="仿宋_GB2312"/>
          <w:sz w:val="24"/>
        </w:rPr>
      </w:pPr>
      <w:r>
        <w:rPr>
          <w:rFonts w:hint="eastAsia" w:ascii="仿宋_GB2312" w:eastAsia="仿宋_GB2312"/>
          <w:sz w:val="24"/>
        </w:rPr>
        <w:t>2.1最终</w:t>
      </w:r>
      <w:r>
        <w:rPr>
          <w:rFonts w:hint="eastAsia" w:ascii="仿宋_GB2312" w:eastAsia="仿宋_GB2312"/>
          <w:sz w:val="24"/>
          <w:lang w:eastAsia="zh-CN"/>
        </w:rPr>
        <w:t>目的</w:t>
      </w:r>
      <w:r>
        <w:rPr>
          <w:rFonts w:hint="eastAsia" w:ascii="仿宋_GB2312" w:eastAsia="仿宋_GB2312"/>
          <w:sz w:val="24"/>
        </w:rPr>
        <w:t>：</w:t>
      </w:r>
      <w:r>
        <w:rPr>
          <w:rFonts w:hint="eastAsia" w:ascii="仿宋_GB2312" w:eastAsia="仿宋_GB2312"/>
          <w:sz w:val="24"/>
          <w:lang w:eastAsia="zh-CN"/>
        </w:rPr>
        <w:t>针对现变电站进行改造，以满足新增</w:t>
      </w:r>
      <w:r>
        <w:rPr>
          <w:rFonts w:hint="eastAsia" w:ascii="仿宋_GB2312" w:eastAsia="仿宋_GB2312"/>
          <w:sz w:val="24"/>
          <w:lang w:val="en-US" w:eastAsia="zh-CN"/>
        </w:rPr>
        <w:t>65MW余热发电机组接入，并负责组织安徽省电力系统相关评审，确保系统满足安徽省电力系统相关要求。</w:t>
      </w:r>
    </w:p>
    <w:p>
      <w:pPr>
        <w:spacing w:line="360" w:lineRule="auto"/>
        <w:ind w:firstLine="482"/>
        <w:rPr>
          <w:rFonts w:ascii="仿宋_GB2312" w:eastAsia="仿宋_GB2312"/>
          <w:sz w:val="24"/>
        </w:rPr>
      </w:pPr>
      <w:r>
        <w:rPr>
          <w:rFonts w:hint="eastAsia" w:ascii="仿宋_GB2312" w:eastAsia="仿宋_GB2312"/>
          <w:sz w:val="24"/>
        </w:rPr>
        <w:t>2.</w:t>
      </w:r>
      <w:r>
        <w:rPr>
          <w:rFonts w:hint="eastAsia" w:ascii="仿宋_GB2312" w:eastAsia="仿宋_GB2312"/>
          <w:sz w:val="24"/>
          <w:lang w:val="en-US" w:eastAsia="zh-CN"/>
        </w:rPr>
        <w:t>2</w:t>
      </w:r>
      <w:r>
        <w:rPr>
          <w:rFonts w:hint="eastAsia" w:ascii="仿宋_GB2312" w:eastAsia="仿宋_GB2312"/>
          <w:sz w:val="24"/>
          <w:lang w:eastAsia="zh-CN"/>
        </w:rPr>
        <w:t>变电站现状描述</w:t>
      </w:r>
      <w:r>
        <w:rPr>
          <w:rFonts w:hint="eastAsia" w:ascii="仿宋_GB2312" w:eastAsia="仿宋_GB2312"/>
          <w:sz w:val="24"/>
        </w:rPr>
        <w:t>：</w:t>
      </w:r>
    </w:p>
    <w:p>
      <w:pPr>
        <w:autoSpaceDE w:val="0"/>
        <w:autoSpaceDN w:val="0"/>
        <w:adjustRightInd w:val="0"/>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eastAsia="zh-CN"/>
        </w:rPr>
        <w:t>现建有</w:t>
      </w:r>
      <w:r>
        <w:rPr>
          <w:rFonts w:hint="eastAsia" w:ascii="仿宋_GB2312" w:eastAsia="仿宋_GB2312"/>
          <w:sz w:val="24"/>
          <w:lang w:val="en-US" w:eastAsia="zh-CN"/>
        </w:rPr>
        <w:t>110变电站一座，拥有63MVA 110/10KV变压器4台，三用1备。10KV I、II、IV段各接入一台25MW发电机组。</w:t>
      </w:r>
    </w:p>
    <w:p>
      <w:pPr>
        <w:autoSpaceDE w:val="0"/>
        <w:autoSpaceDN w:val="0"/>
        <w:adjustRightInd w:val="0"/>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系统短路电流为36.5KA，变电站断路器开断电流为40KA。</w:t>
      </w:r>
    </w:p>
    <w:p>
      <w:pPr>
        <w:autoSpaceDE w:val="0"/>
        <w:autoSpaceDN w:val="0"/>
        <w:adjustRightInd w:val="0"/>
        <w:spacing w:line="360" w:lineRule="auto"/>
        <w:rPr>
          <w:rFonts w:ascii="仿宋_GB2312" w:eastAsia="仿宋_GB2312"/>
          <w:sz w:val="24"/>
        </w:rPr>
      </w:pPr>
      <w:r>
        <w:rPr>
          <w:rFonts w:hint="eastAsia" w:ascii="仿宋_GB2312" w:eastAsia="仿宋_GB2312"/>
          <w:sz w:val="24"/>
        </w:rPr>
        <w:t>3．资质、资格要求：</w:t>
      </w:r>
    </w:p>
    <w:p>
      <w:pPr>
        <w:tabs>
          <w:tab w:val="left" w:pos="8080"/>
        </w:tabs>
        <w:autoSpaceDE w:val="0"/>
        <w:autoSpaceDN w:val="0"/>
        <w:adjustRightInd w:val="0"/>
        <w:spacing w:line="360" w:lineRule="auto"/>
        <w:ind w:firstLine="540"/>
        <w:rPr>
          <w:rFonts w:ascii="仿宋_GB2312" w:eastAsia="仿宋_GB2312"/>
          <w:sz w:val="24"/>
        </w:rPr>
      </w:pPr>
      <w:r>
        <w:rPr>
          <w:rFonts w:hint="eastAsia" w:ascii="仿宋_GB2312" w:eastAsia="仿宋_GB2312"/>
          <w:b w:val="0"/>
          <w:bCs w:val="0"/>
          <w:sz w:val="24"/>
        </w:rPr>
        <w:t>3.1 投标人应具有</w:t>
      </w:r>
      <w:r>
        <w:rPr>
          <w:rFonts w:hint="eastAsia" w:ascii="仿宋_GB2312" w:eastAsia="仿宋_GB2312"/>
          <w:b w:val="0"/>
          <w:bCs w:val="0"/>
          <w:sz w:val="24"/>
          <w:lang w:val="en-US" w:eastAsia="zh-CN"/>
        </w:rPr>
        <w:t>110KV</w:t>
      </w:r>
      <w:r>
        <w:rPr>
          <w:rFonts w:hint="eastAsia" w:ascii="仿宋_GB2312" w:eastAsia="仿宋_GB2312"/>
          <w:b w:val="0"/>
          <w:bCs w:val="0"/>
          <w:sz w:val="24"/>
          <w:lang w:eastAsia="zh-CN"/>
        </w:rPr>
        <w:t>变电站</w:t>
      </w:r>
      <w:r>
        <w:rPr>
          <w:rFonts w:hint="eastAsia" w:ascii="仿宋_GB2312" w:eastAsia="仿宋_GB2312"/>
          <w:b w:val="0"/>
          <w:bCs w:val="0"/>
          <w:sz w:val="24"/>
        </w:rPr>
        <w:t>工程设计甲级设计资质；</w:t>
      </w:r>
      <w:r>
        <w:rPr>
          <w:rFonts w:ascii="仿宋_GB2312" w:eastAsia="仿宋_GB2312"/>
          <w:sz w:val="24"/>
        </w:rPr>
        <w:tab/>
      </w:r>
    </w:p>
    <w:p>
      <w:pPr>
        <w:autoSpaceDE w:val="0"/>
        <w:autoSpaceDN w:val="0"/>
        <w:adjustRightInd w:val="0"/>
        <w:spacing w:line="360" w:lineRule="auto"/>
        <w:ind w:firstLine="540"/>
        <w:rPr>
          <w:rFonts w:ascii="仿宋_GB2312" w:eastAsia="仿宋_GB2312"/>
          <w:sz w:val="24"/>
        </w:rPr>
      </w:pPr>
      <w:r>
        <w:rPr>
          <w:rFonts w:hint="eastAsia" w:ascii="仿宋_GB2312" w:eastAsia="仿宋_GB2312"/>
          <w:sz w:val="24"/>
        </w:rPr>
        <w:t>3.2 投标人</w:t>
      </w:r>
      <w:r>
        <w:rPr>
          <w:rFonts w:hint="eastAsia" w:ascii="仿宋_GB2312" w:eastAsia="仿宋_GB2312"/>
          <w:sz w:val="24"/>
          <w:lang w:eastAsia="zh-CN"/>
        </w:rPr>
        <w:t>三</w:t>
      </w:r>
      <w:r>
        <w:rPr>
          <w:rFonts w:hint="eastAsia" w:ascii="仿宋_GB2312" w:eastAsia="仿宋_GB2312"/>
          <w:b/>
          <w:bCs/>
          <w:sz w:val="24"/>
          <w:lang w:eastAsia="zh-CN"/>
        </w:rPr>
        <w:t>年内</w:t>
      </w:r>
      <w:r>
        <w:rPr>
          <w:rFonts w:hint="eastAsia" w:ascii="仿宋_GB2312" w:eastAsia="仿宋_GB2312"/>
          <w:sz w:val="24"/>
        </w:rPr>
        <w:t>完成过</w:t>
      </w:r>
      <w:r>
        <w:rPr>
          <w:rFonts w:hint="eastAsia" w:ascii="仿宋_GB2312" w:eastAsia="仿宋_GB2312"/>
          <w:sz w:val="24"/>
          <w:lang w:val="en-US" w:eastAsia="zh-CN"/>
        </w:rPr>
        <w:t>65MW发电机组接入</w:t>
      </w:r>
      <w:r>
        <w:rPr>
          <w:rFonts w:hint="eastAsia" w:ascii="仿宋_GB2312" w:hAnsi="宋体" w:eastAsia="仿宋_GB2312"/>
          <w:sz w:val="24"/>
        </w:rPr>
        <w:t>项目</w:t>
      </w:r>
      <w:r>
        <w:rPr>
          <w:rFonts w:hint="eastAsia" w:ascii="仿宋_GB2312" w:eastAsia="仿宋_GB2312"/>
          <w:sz w:val="24"/>
        </w:rPr>
        <w:t>设计，并验收合格；</w:t>
      </w:r>
    </w:p>
    <w:p>
      <w:pPr>
        <w:spacing w:line="360" w:lineRule="auto"/>
        <w:ind w:firstLine="569" w:firstLineChars="237"/>
        <w:rPr>
          <w:rFonts w:ascii="仿宋_GB2312" w:eastAsia="仿宋_GB2312"/>
          <w:sz w:val="24"/>
        </w:rPr>
      </w:pPr>
      <w:r>
        <w:rPr>
          <w:rFonts w:hint="eastAsia" w:ascii="仿宋_GB2312" w:eastAsia="仿宋_GB2312"/>
          <w:sz w:val="24"/>
        </w:rPr>
        <w:t>3.3参与本项目的主要人员，须具有与本工程性质、规模相当的设计方面8年以上的经验；</w:t>
      </w:r>
    </w:p>
    <w:p>
      <w:pPr>
        <w:spacing w:line="360" w:lineRule="auto"/>
        <w:ind w:firstLine="569" w:firstLineChars="237"/>
        <w:rPr>
          <w:rFonts w:ascii="仿宋_GB2312" w:eastAsia="仿宋_GB2312"/>
          <w:sz w:val="24"/>
        </w:rPr>
      </w:pPr>
      <w:r>
        <w:rPr>
          <w:rFonts w:hint="eastAsia" w:ascii="仿宋_GB2312" w:eastAsia="仿宋_GB2312"/>
          <w:sz w:val="24"/>
        </w:rPr>
        <w:t>3.4投标方在项目实施过程中应能够与我公司精诚合作，及时对我公司针对方案的局部调整进行跟进并进行相应更改。</w:t>
      </w:r>
    </w:p>
    <w:p>
      <w:pPr>
        <w:spacing w:line="360" w:lineRule="auto"/>
        <w:rPr>
          <w:rFonts w:ascii="仿宋_GB2312" w:eastAsia="仿宋_GB2312" w:cs="仿宋_GB2312"/>
          <w:sz w:val="24"/>
          <w:lang w:val="zh-CN"/>
        </w:rPr>
      </w:pPr>
      <w:r>
        <w:rPr>
          <w:rFonts w:hint="eastAsia" w:ascii="仿宋_GB2312" w:eastAsia="仿宋_GB2312"/>
          <w:sz w:val="24"/>
        </w:rPr>
        <w:t>4、</w:t>
      </w:r>
      <w:r>
        <w:rPr>
          <w:rFonts w:hint="eastAsia" w:ascii="仿宋_GB2312" w:eastAsia="仿宋_GB2312" w:cs="仿宋_GB2312"/>
          <w:sz w:val="24"/>
          <w:lang w:val="zh-CN"/>
        </w:rPr>
        <w:t>投标截止时间</w:t>
      </w:r>
      <w:r>
        <w:rPr>
          <w:rFonts w:hint="eastAsia" w:ascii="仿宋_GB2312" w:eastAsia="仿宋_GB2312"/>
          <w:sz w:val="24"/>
        </w:rPr>
        <w:t>：</w:t>
      </w:r>
      <w:r>
        <w:rPr>
          <w:rFonts w:ascii="仿宋_GB2312" w:eastAsia="仿宋_GB2312" w:cs="仿宋_GB2312"/>
          <w:sz w:val="24"/>
          <w:lang w:val="zh-CN"/>
        </w:rPr>
        <w:t>20</w:t>
      </w:r>
      <w:r>
        <w:rPr>
          <w:rFonts w:hint="eastAsia" w:ascii="仿宋_GB2312" w:eastAsia="仿宋_GB2312" w:cs="仿宋_GB2312"/>
          <w:sz w:val="24"/>
          <w:lang w:val="zh-CN"/>
        </w:rPr>
        <w:t>1</w:t>
      </w:r>
      <w:r>
        <w:rPr>
          <w:rFonts w:hint="eastAsia" w:ascii="仿宋_GB2312" w:eastAsia="仿宋_GB2312" w:cs="仿宋_GB2312"/>
          <w:sz w:val="24"/>
        </w:rPr>
        <w:t>5</w:t>
      </w:r>
      <w:r>
        <w:rPr>
          <w:rFonts w:hint="eastAsia" w:ascii="仿宋_GB2312" w:eastAsia="仿宋_GB2312" w:cs="仿宋_GB2312"/>
          <w:sz w:val="24"/>
          <w:lang w:val="zh-CN"/>
        </w:rPr>
        <w:t>年</w:t>
      </w:r>
      <w:r>
        <w:rPr>
          <w:rFonts w:hint="eastAsia" w:ascii="仿宋_GB2312" w:eastAsia="仿宋_GB2312" w:cs="仿宋_GB2312"/>
          <w:sz w:val="24"/>
          <w:lang w:val="en-US" w:eastAsia="zh-CN"/>
        </w:rPr>
        <w:t>12</w:t>
      </w:r>
      <w:r>
        <w:rPr>
          <w:rFonts w:hint="eastAsia" w:ascii="仿宋_GB2312" w:eastAsia="仿宋_GB2312" w:cs="仿宋_GB2312"/>
          <w:sz w:val="24"/>
          <w:lang w:val="zh-CN"/>
        </w:rPr>
        <w:t>月</w:t>
      </w:r>
      <w:r>
        <w:rPr>
          <w:rFonts w:hint="eastAsia" w:ascii="仿宋_GB2312" w:eastAsia="仿宋_GB2312" w:cs="仿宋_GB2312"/>
          <w:sz w:val="24"/>
          <w:lang w:val="en-US" w:eastAsia="zh-CN"/>
        </w:rPr>
        <w:t>16</w:t>
      </w:r>
      <w:r>
        <w:rPr>
          <w:rFonts w:hint="eastAsia" w:ascii="仿宋_GB2312" w:eastAsia="仿宋_GB2312" w:cs="仿宋_GB2312"/>
          <w:sz w:val="24"/>
          <w:lang w:val="zh-CN"/>
        </w:rPr>
        <w:t>日10</w:t>
      </w:r>
      <w:r>
        <w:rPr>
          <w:rFonts w:ascii="仿宋_GB2312" w:eastAsia="仿宋_GB2312" w:cs="仿宋_GB2312"/>
          <w:sz w:val="24"/>
          <w:lang w:val="zh-CN"/>
        </w:rPr>
        <w:t>:00</w:t>
      </w:r>
      <w:r>
        <w:rPr>
          <w:rFonts w:hint="eastAsia" w:ascii="仿宋_GB2312" w:eastAsia="仿宋_GB2312" w:cs="仿宋_GB2312"/>
          <w:sz w:val="24"/>
          <w:lang w:val="zh-CN"/>
        </w:rPr>
        <w:t>时。</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 xml:space="preserve">联系人： </w:t>
      </w:r>
      <w:r>
        <w:rPr>
          <w:rFonts w:hint="eastAsia" w:ascii="仿宋_GB2312" w:eastAsia="仿宋_GB2312"/>
          <w:sz w:val="24"/>
          <w:lang w:eastAsia="zh-CN"/>
        </w:rPr>
        <w:t>凌骏春</w:t>
      </w:r>
      <w:r>
        <w:rPr>
          <w:rFonts w:hint="eastAsia" w:ascii="仿宋_GB2312" w:eastAsia="仿宋_GB2312"/>
          <w:sz w:val="24"/>
        </w:rPr>
        <w:t xml:space="preserve">               </w:t>
      </w:r>
    </w:p>
    <w:p>
      <w:pPr>
        <w:spacing w:line="360" w:lineRule="auto"/>
        <w:ind w:firstLine="480" w:firstLineChars="200"/>
        <w:rPr>
          <w:rFonts w:ascii="仿宋_GB2312" w:eastAsia="仿宋_GB2312"/>
          <w:sz w:val="24"/>
        </w:rPr>
      </w:pPr>
      <w:r>
        <w:rPr>
          <w:rFonts w:hint="eastAsia" w:ascii="仿宋_GB2312" w:eastAsia="仿宋_GB2312"/>
          <w:sz w:val="24"/>
        </w:rPr>
        <w:t>电话：0553</w:t>
      </w:r>
      <w:r>
        <w:rPr>
          <w:rFonts w:hint="eastAsia" w:ascii="仿宋_GB2312" w:eastAsia="仿宋_GB2312"/>
          <w:sz w:val="24"/>
          <w:lang w:val="en-US" w:eastAsia="zh-CN"/>
        </w:rPr>
        <w:t>-</w:t>
      </w:r>
      <w:r>
        <w:rPr>
          <w:rFonts w:hint="eastAsia" w:ascii="仿宋_GB2312" w:eastAsia="仿宋_GB2312"/>
          <w:sz w:val="24"/>
        </w:rPr>
        <w:t>56271</w:t>
      </w:r>
      <w:r>
        <w:rPr>
          <w:rFonts w:hint="eastAsia" w:ascii="仿宋_GB2312" w:eastAsia="仿宋_GB2312"/>
          <w:sz w:val="24"/>
          <w:lang w:val="en-US" w:eastAsia="zh-CN"/>
        </w:rPr>
        <w:t>37</w:t>
      </w:r>
    </w:p>
    <w:p>
      <w:pPr>
        <w:spacing w:line="360" w:lineRule="auto"/>
        <w:ind w:firstLine="480" w:firstLineChars="200"/>
        <w:rPr>
          <w:rFonts w:hint="eastAsia" w:ascii="仿宋_GB2312" w:eastAsia="仿宋_GB2312"/>
          <w:sz w:val="24"/>
          <w:lang w:val="en-US" w:eastAsia="zh-CN"/>
        </w:rPr>
      </w:pPr>
      <w:r>
        <w:rPr>
          <w:rFonts w:hint="eastAsia" w:ascii="仿宋_GB2312" w:eastAsia="仿宋_GB2312"/>
          <w:sz w:val="24"/>
        </w:rPr>
        <w:t>邮箱：</w:t>
      </w:r>
      <w:r>
        <w:rPr>
          <w:rFonts w:hint="eastAsia" w:ascii="仿宋_GB2312" w:eastAsia="仿宋_GB2312"/>
          <w:color w:val="auto"/>
          <w:sz w:val="24"/>
          <w:lang w:val="en-US" w:eastAsia="zh-CN"/>
        </w:rPr>
        <w:fldChar w:fldCharType="begin"/>
      </w:r>
      <w:r>
        <w:rPr>
          <w:rFonts w:hint="eastAsia" w:ascii="仿宋_GB2312" w:eastAsia="仿宋_GB2312"/>
          <w:color w:val="auto"/>
          <w:sz w:val="24"/>
          <w:lang w:val="en-US" w:eastAsia="zh-CN"/>
        </w:rPr>
        <w:instrText xml:space="preserve"> HYPERLINK "mailto:13866396573@qq.com" </w:instrText>
      </w:r>
      <w:r>
        <w:rPr>
          <w:rFonts w:hint="eastAsia" w:ascii="仿宋_GB2312" w:eastAsia="仿宋_GB2312"/>
          <w:color w:val="auto"/>
          <w:sz w:val="24"/>
          <w:lang w:val="en-US" w:eastAsia="zh-CN"/>
        </w:rPr>
        <w:fldChar w:fldCharType="separate"/>
      </w:r>
      <w:r>
        <w:rPr>
          <w:rStyle w:val="19"/>
          <w:rFonts w:hint="eastAsia" w:ascii="仿宋_GB2312" w:eastAsia="仿宋_GB2312"/>
          <w:color w:val="auto"/>
          <w:sz w:val="24"/>
          <w:lang w:val="en-US" w:eastAsia="zh-CN"/>
        </w:rPr>
        <w:t>13866396573@qq.com</w:t>
      </w:r>
      <w:r>
        <w:rPr>
          <w:rFonts w:hint="eastAsia" w:ascii="仿宋_GB2312" w:eastAsia="仿宋_GB2312"/>
          <w:color w:val="auto"/>
          <w:sz w:val="24"/>
          <w:lang w:val="en-US" w:eastAsia="zh-CN"/>
        </w:rPr>
        <w:fldChar w:fldCharType="end"/>
      </w:r>
    </w:p>
    <w:p>
      <w:pPr>
        <w:spacing w:line="360" w:lineRule="auto"/>
        <w:ind w:firstLine="480" w:firstLineChars="200"/>
        <w:rPr>
          <w:rFonts w:ascii="仿宋_GB2312" w:eastAsia="仿宋_GB2312"/>
          <w:sz w:val="24"/>
        </w:rPr>
      </w:pPr>
      <w:r>
        <w:rPr>
          <w:rFonts w:hint="eastAsia" w:ascii="仿宋_GB2312" w:eastAsia="仿宋_GB2312"/>
          <w:sz w:val="24"/>
        </w:rPr>
        <w:t>传真：0553-5627134</w:t>
      </w:r>
    </w:p>
    <w:p>
      <w:pPr>
        <w:spacing w:line="360" w:lineRule="auto"/>
        <w:ind w:firstLine="480" w:firstLineChars="200"/>
        <w:rPr>
          <w:rFonts w:ascii="仿宋_GB2312" w:eastAsia="仿宋_GB2312"/>
          <w:sz w:val="24"/>
        </w:rPr>
      </w:pPr>
    </w:p>
    <w:p>
      <w:pPr>
        <w:spacing w:line="360" w:lineRule="auto"/>
        <w:ind w:firstLine="3600" w:firstLineChars="1500"/>
        <w:rPr>
          <w:rFonts w:ascii="仿宋_GB2312" w:eastAsia="仿宋_GB2312"/>
          <w:sz w:val="24"/>
        </w:rPr>
      </w:pPr>
      <w:r>
        <w:rPr>
          <w:rFonts w:hint="eastAsia" w:ascii="仿宋_GB2312" w:eastAsia="仿宋_GB2312"/>
          <w:sz w:val="24"/>
        </w:rPr>
        <w:t xml:space="preserve">                                     </w:t>
      </w:r>
    </w:p>
    <w:p>
      <w:pPr>
        <w:spacing w:line="360" w:lineRule="auto"/>
        <w:ind w:firstLine="3600" w:firstLineChars="1500"/>
        <w:rPr>
          <w:rFonts w:ascii="仿宋_GB2312" w:eastAsia="仿宋_GB2312"/>
          <w:sz w:val="24"/>
        </w:rPr>
      </w:pPr>
      <w:r>
        <w:rPr>
          <w:rFonts w:hint="eastAsia" w:ascii="仿宋_GB2312" w:eastAsia="仿宋_GB2312"/>
          <w:sz w:val="24"/>
        </w:rPr>
        <w:t>招标人： 芜湖新兴铸管有限责任公司</w:t>
      </w:r>
    </w:p>
    <w:p>
      <w:pPr>
        <w:ind w:firstLine="4320" w:firstLineChars="1800"/>
        <w:rPr>
          <w:rFonts w:ascii="仿宋_GB2312" w:eastAsia="仿宋_GB2312"/>
          <w:bCs/>
          <w:sz w:val="24"/>
        </w:rPr>
      </w:pPr>
      <w:r>
        <w:rPr>
          <w:rFonts w:hint="eastAsia" w:ascii="仿宋_GB2312" w:eastAsia="仿宋_GB2312"/>
          <w:bCs/>
          <w:sz w:val="24"/>
        </w:rPr>
        <w:t xml:space="preserve">  二○一五年</w:t>
      </w:r>
      <w:r>
        <w:rPr>
          <w:rFonts w:hint="eastAsia" w:ascii="仿宋_GB2312" w:eastAsia="仿宋_GB2312"/>
          <w:bCs/>
          <w:sz w:val="24"/>
          <w:lang w:eastAsia="zh-CN"/>
        </w:rPr>
        <w:t>十一</w:t>
      </w:r>
      <w:r>
        <w:rPr>
          <w:rFonts w:hint="eastAsia" w:ascii="仿宋_GB2312" w:eastAsia="仿宋_GB2312"/>
          <w:bCs/>
          <w:sz w:val="24"/>
        </w:rPr>
        <w:t>月</w:t>
      </w:r>
      <w:r>
        <w:rPr>
          <w:rFonts w:hint="eastAsia" w:ascii="仿宋_GB2312" w:eastAsia="仿宋_GB2312"/>
          <w:bCs/>
          <w:sz w:val="24"/>
          <w:lang w:eastAsia="zh-CN"/>
        </w:rPr>
        <w:t>二十六</w:t>
      </w:r>
      <w:r>
        <w:rPr>
          <w:rFonts w:hint="eastAsia" w:ascii="仿宋_GB2312" w:eastAsia="仿宋_GB2312"/>
          <w:bCs/>
          <w:sz w:val="24"/>
        </w:rPr>
        <w:t>日</w:t>
      </w:r>
    </w:p>
    <w:p>
      <w:pPr>
        <w:rPr>
          <w:rFonts w:ascii="黑体" w:eastAsia="黑体"/>
          <w:sz w:val="32"/>
          <w:szCs w:val="32"/>
        </w:rPr>
      </w:pPr>
    </w:p>
    <w:p>
      <w:pPr>
        <w:jc w:val="center"/>
        <w:outlineLvl w:val="0"/>
        <w:rPr>
          <w:rFonts w:ascii="黑体" w:eastAsia="黑体"/>
          <w:sz w:val="32"/>
          <w:szCs w:val="32"/>
        </w:rPr>
      </w:pPr>
      <w:r>
        <w:rPr>
          <w:rFonts w:hint="eastAsia" w:ascii="黑体" w:eastAsia="黑体"/>
          <w:sz w:val="32"/>
          <w:szCs w:val="32"/>
        </w:rPr>
        <w:br w:type="page"/>
      </w:r>
      <w:bookmarkStart w:id="1" w:name="_Toc32464"/>
      <w:r>
        <w:rPr>
          <w:rFonts w:hint="eastAsia" w:ascii="黑体" w:eastAsia="黑体"/>
          <w:sz w:val="32"/>
          <w:szCs w:val="32"/>
        </w:rPr>
        <w:t>第</w:t>
      </w:r>
      <w:r>
        <w:rPr>
          <w:rFonts w:hint="eastAsia" w:ascii="黑体" w:eastAsia="黑体"/>
          <w:sz w:val="32"/>
          <w:szCs w:val="32"/>
          <w:lang w:eastAsia="zh-CN"/>
        </w:rPr>
        <w:t>二</w:t>
      </w:r>
      <w:r>
        <w:rPr>
          <w:rFonts w:hint="eastAsia" w:ascii="黑体" w:eastAsia="黑体"/>
          <w:sz w:val="32"/>
          <w:szCs w:val="32"/>
        </w:rPr>
        <w:t>部分   投标人须知</w:t>
      </w:r>
      <w:bookmarkEnd w:id="1"/>
    </w:p>
    <w:p>
      <w:pPr>
        <w:spacing w:line="400" w:lineRule="exact"/>
        <w:jc w:val="center"/>
        <w:rPr>
          <w:rFonts w:ascii="仿宋_GB2312" w:eastAsia="仿宋_GB2312"/>
          <w:b/>
          <w:sz w:val="24"/>
        </w:rPr>
      </w:pPr>
      <w:r>
        <w:rPr>
          <w:rFonts w:hint="eastAsia" w:ascii="黑体" w:eastAsia="黑体"/>
          <w:sz w:val="32"/>
          <w:szCs w:val="32"/>
        </w:rPr>
        <w:t>投标人须知前附表</w:t>
      </w:r>
    </w:p>
    <w:p/>
    <w:tbl>
      <w:tblPr>
        <w:tblW w:w="9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8"/>
        <w:gridCol w:w="1860"/>
        <w:gridCol w:w="6480"/>
      </w:tblGrid>
      <w:tr>
        <w:trPr>
          <w:trHeight w:val="567" w:hRule="atLeast"/>
        </w:trPr>
        <w:tc>
          <w:tcPr>
            <w:tcW w:w="828" w:type="dxa"/>
            <w:vAlign w:val="center"/>
          </w:tcPr>
          <w:p>
            <w:pPr>
              <w:ind w:left="153"/>
              <w:rPr>
                <w:rFonts w:ascii="仿宋_GB2312" w:hAnsi="宋体" w:eastAsia="仿宋_GB2312"/>
                <w:spacing w:val="-16"/>
                <w:sz w:val="24"/>
              </w:rPr>
            </w:pPr>
            <w:r>
              <w:rPr>
                <w:rFonts w:hint="eastAsia" w:ascii="仿宋_GB2312" w:hAnsi="宋体" w:eastAsia="仿宋_GB2312"/>
                <w:spacing w:val="-16"/>
                <w:sz w:val="24"/>
              </w:rPr>
              <w:t>项号</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内   容</w:t>
            </w:r>
          </w:p>
        </w:tc>
        <w:tc>
          <w:tcPr>
            <w:tcW w:w="6480" w:type="dxa"/>
            <w:vAlign w:val="center"/>
          </w:tcPr>
          <w:p>
            <w:pPr>
              <w:ind w:left="153"/>
              <w:jc w:val="center"/>
              <w:rPr>
                <w:rFonts w:ascii="仿宋_GB2312" w:hAnsi="宋体" w:eastAsia="仿宋_GB2312"/>
                <w:sz w:val="24"/>
              </w:rPr>
            </w:pPr>
            <w:r>
              <w:rPr>
                <w:rFonts w:hint="eastAsia" w:ascii="仿宋_GB2312" w:hAnsi="宋体" w:eastAsia="仿宋_GB2312"/>
                <w:sz w:val="24"/>
              </w:rPr>
              <w:t>规           定</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工程名称</w:t>
            </w:r>
          </w:p>
        </w:tc>
        <w:tc>
          <w:tcPr>
            <w:tcW w:w="6480" w:type="dxa"/>
            <w:vAlign w:val="center"/>
          </w:tcPr>
          <w:p>
            <w:pPr>
              <w:spacing w:line="360" w:lineRule="auto"/>
              <w:ind w:right="-514" w:rightChars="-245"/>
              <w:rPr>
                <w:rFonts w:ascii="仿宋_GB2312" w:hAnsi="宋体" w:eastAsia="仿宋_GB2312"/>
                <w:sz w:val="24"/>
                <w:szCs w:val="44"/>
              </w:rPr>
            </w:pPr>
            <w:r>
              <w:rPr>
                <w:rFonts w:hint="eastAsia" w:ascii="仿宋_GB2312" w:hAnsi="宋体" w:eastAsia="仿宋_GB2312"/>
                <w:sz w:val="24"/>
              </w:rPr>
              <w:t>芜湖新兴铸管</w:t>
            </w:r>
            <w:r>
              <w:rPr>
                <w:rFonts w:hint="eastAsia" w:ascii="仿宋_GB2312" w:hAnsi="宋体" w:eastAsia="仿宋_GB2312"/>
                <w:sz w:val="24"/>
                <w:lang w:eastAsia="zh-CN"/>
              </w:rPr>
              <w:t>变电站改造</w:t>
            </w:r>
            <w:r>
              <w:rPr>
                <w:rFonts w:hint="eastAsia" w:ascii="仿宋_GB2312" w:eastAsia="仿宋_GB2312"/>
                <w:sz w:val="24"/>
              </w:rPr>
              <w:t>工程</w:t>
            </w:r>
            <w:r>
              <w:rPr>
                <w:rFonts w:hint="eastAsia" w:ascii="仿宋_GB2312" w:hAnsi="宋体" w:eastAsia="仿宋_GB2312"/>
                <w:sz w:val="24"/>
                <w:szCs w:val="44"/>
              </w:rPr>
              <w:t>设计</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2</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工程地点</w:t>
            </w:r>
          </w:p>
        </w:tc>
        <w:tc>
          <w:tcPr>
            <w:tcW w:w="6480" w:type="dxa"/>
            <w:vAlign w:val="center"/>
          </w:tcPr>
          <w:p>
            <w:pPr>
              <w:rPr>
                <w:rFonts w:ascii="仿宋_GB2312" w:hAnsi="宋体" w:eastAsia="仿宋_GB2312"/>
                <w:sz w:val="24"/>
              </w:rPr>
            </w:pPr>
            <w:r>
              <w:rPr>
                <w:rFonts w:hint="eastAsia" w:ascii="仿宋_GB2312" w:hAnsi="宋体" w:eastAsia="仿宋_GB2312"/>
                <w:sz w:val="24"/>
              </w:rPr>
              <w:t>芜湖市三山区临江工业园</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3</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工程规模</w:t>
            </w:r>
          </w:p>
        </w:tc>
        <w:tc>
          <w:tcPr>
            <w:tcW w:w="6480" w:type="dxa"/>
            <w:vAlign w:val="center"/>
          </w:tcPr>
          <w:p>
            <w:pPr>
              <w:spacing w:line="360" w:lineRule="auto"/>
              <w:rPr>
                <w:rFonts w:hint="eastAsia" w:ascii="仿宋_GB2312" w:hAnsi="宋体" w:eastAsia="仿宋_GB2312"/>
                <w:sz w:val="24"/>
                <w:lang w:eastAsia="zh-CN"/>
              </w:rPr>
            </w:pPr>
            <w:r>
              <w:rPr>
                <w:rFonts w:hint="eastAsia" w:ascii="仿宋_GB2312" w:eastAsia="仿宋_GB2312"/>
                <w:sz w:val="24"/>
                <w:lang w:eastAsia="zh-CN"/>
              </w:rPr>
              <w:t>针对现变电站进行改造，以满足新增</w:t>
            </w:r>
            <w:r>
              <w:rPr>
                <w:rFonts w:hint="eastAsia" w:ascii="仿宋_GB2312" w:eastAsia="仿宋_GB2312"/>
                <w:sz w:val="24"/>
                <w:lang w:val="en-US" w:eastAsia="zh-CN"/>
              </w:rPr>
              <w:t>65MW余热发电机组接入，并负责组织安徽省电力系统相关评审，确保系统满足安徽省电力系统相关要求。</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4</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招标编号</w:t>
            </w:r>
          </w:p>
        </w:tc>
        <w:tc>
          <w:tcPr>
            <w:tcW w:w="6480" w:type="dxa"/>
            <w:vAlign w:val="center"/>
          </w:tcPr>
          <w:p>
            <w:pPr>
              <w:rPr>
                <w:rFonts w:ascii="仿宋_GB2312" w:hAnsi="宋体" w:eastAsia="仿宋_GB2312"/>
                <w:sz w:val="24"/>
              </w:rPr>
            </w:pPr>
            <w:r>
              <w:rPr>
                <w:rFonts w:hint="eastAsia" w:ascii="仿宋_GB2312" w:hAnsi="宋体" w:eastAsia="仿宋_GB2312"/>
                <w:sz w:val="24"/>
              </w:rPr>
              <w:t>WXSS-S15</w:t>
            </w:r>
            <w:r>
              <w:rPr>
                <w:rFonts w:hint="eastAsia" w:ascii="仿宋_GB2312" w:hAnsi="宋体" w:eastAsia="仿宋_GB2312"/>
                <w:sz w:val="24"/>
                <w:lang w:val="en-US" w:eastAsia="zh-CN"/>
              </w:rPr>
              <w:t>11</w:t>
            </w:r>
            <w:r>
              <w:rPr>
                <w:rFonts w:hint="eastAsia" w:ascii="仿宋_GB2312" w:hAnsi="宋体" w:eastAsia="仿宋_GB2312"/>
                <w:sz w:val="24"/>
              </w:rPr>
              <w:t xml:space="preserve"> </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5</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资金来源</w:t>
            </w:r>
          </w:p>
        </w:tc>
        <w:tc>
          <w:tcPr>
            <w:tcW w:w="6480" w:type="dxa"/>
            <w:vAlign w:val="center"/>
          </w:tcPr>
          <w:p>
            <w:pPr>
              <w:rPr>
                <w:rFonts w:ascii="仿宋_GB2312" w:hAnsi="宋体" w:eastAsia="仿宋_GB2312"/>
                <w:sz w:val="24"/>
              </w:rPr>
            </w:pPr>
            <w:r>
              <w:rPr>
                <w:rFonts w:hint="eastAsia" w:ascii="仿宋_GB2312" w:hAnsi="宋体" w:eastAsia="仿宋_GB2312"/>
                <w:sz w:val="24"/>
              </w:rPr>
              <w:t>企业自筹，银行贷款</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6</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质量要求</w:t>
            </w:r>
          </w:p>
        </w:tc>
        <w:tc>
          <w:tcPr>
            <w:tcW w:w="6480" w:type="dxa"/>
            <w:vAlign w:val="center"/>
          </w:tcPr>
          <w:p>
            <w:pPr>
              <w:rPr>
                <w:rFonts w:ascii="仿宋_GB2312" w:hAnsi="宋体" w:eastAsia="仿宋_GB2312"/>
                <w:sz w:val="24"/>
              </w:rPr>
            </w:pPr>
            <w:r>
              <w:rPr>
                <w:rFonts w:hint="eastAsia" w:ascii="仿宋_GB2312" w:hAnsi="宋体" w:eastAsia="仿宋_GB2312"/>
                <w:sz w:val="24"/>
              </w:rPr>
              <w:t>设计文件应满足国家、行业、地区有关规定及设计标准、规范、规程、定额和办法等的要求</w:t>
            </w:r>
          </w:p>
        </w:tc>
      </w:tr>
      <w:tr>
        <w:trPr>
          <w:trHeight w:val="567" w:hRule="atLeast"/>
        </w:trPr>
        <w:tc>
          <w:tcPr>
            <w:tcW w:w="828" w:type="dxa"/>
            <w:vAlign w:val="center"/>
          </w:tcPr>
          <w:p>
            <w:pPr>
              <w:spacing w:line="360" w:lineRule="auto"/>
              <w:jc w:val="center"/>
              <w:rPr>
                <w:rFonts w:ascii="仿宋_GB2312" w:hAnsi="宋体" w:eastAsia="仿宋_GB2312"/>
                <w:color w:val="FF0000"/>
                <w:sz w:val="24"/>
              </w:rPr>
            </w:pPr>
            <w:r>
              <w:rPr>
                <w:rFonts w:hint="eastAsia" w:ascii="仿宋_GB2312" w:hAnsi="宋体" w:eastAsia="仿宋_GB2312"/>
                <w:color w:val="FF0000"/>
                <w:sz w:val="24"/>
              </w:rPr>
              <w:t>7</w:t>
            </w:r>
          </w:p>
        </w:tc>
        <w:tc>
          <w:tcPr>
            <w:tcW w:w="1860" w:type="dxa"/>
            <w:vAlign w:val="center"/>
          </w:tcPr>
          <w:p>
            <w:pPr>
              <w:ind w:left="153"/>
              <w:jc w:val="center"/>
              <w:rPr>
                <w:rFonts w:ascii="仿宋_GB2312" w:hAnsi="宋体" w:eastAsia="仿宋_GB2312"/>
                <w:color w:val="FF0000"/>
                <w:sz w:val="24"/>
              </w:rPr>
            </w:pPr>
            <w:r>
              <w:rPr>
                <w:rFonts w:hint="eastAsia" w:ascii="仿宋_GB2312" w:hAnsi="宋体" w:eastAsia="仿宋_GB2312"/>
                <w:color w:val="FF0000"/>
                <w:sz w:val="24"/>
              </w:rPr>
              <w:t>设计周期</w:t>
            </w:r>
          </w:p>
        </w:tc>
        <w:tc>
          <w:tcPr>
            <w:tcW w:w="6480" w:type="dxa"/>
            <w:vAlign w:val="center"/>
          </w:tcPr>
          <w:p>
            <w:pPr>
              <w:spacing w:line="520" w:lineRule="exact"/>
              <w:rPr>
                <w:rFonts w:ascii="仿宋_GB2312" w:hAnsi="宋体" w:eastAsia="仿宋_GB2312"/>
                <w:color w:val="FF0000"/>
                <w:sz w:val="24"/>
              </w:rPr>
            </w:pPr>
            <w:r>
              <w:rPr>
                <w:rFonts w:hint="eastAsia" w:ascii="仿宋_GB2312" w:hAnsi="宋体" w:eastAsia="仿宋_GB2312"/>
                <w:color w:val="FF0000"/>
                <w:sz w:val="24"/>
              </w:rPr>
              <w:t>设计周期根据项目总工期</w:t>
            </w:r>
            <w:r>
              <w:rPr>
                <w:rFonts w:hint="eastAsia" w:ascii="仿宋_GB2312" w:hAnsi="宋体" w:eastAsia="仿宋_GB2312"/>
                <w:color w:val="FF0000"/>
                <w:sz w:val="24"/>
                <w:lang w:val="en-US" w:eastAsia="zh-CN"/>
              </w:rPr>
              <w:t>3</w:t>
            </w:r>
            <w:r>
              <w:rPr>
                <w:rFonts w:hint="eastAsia" w:ascii="仿宋_GB2312" w:hAnsi="宋体" w:eastAsia="仿宋_GB2312"/>
                <w:color w:val="FF0000"/>
                <w:sz w:val="24"/>
              </w:rPr>
              <w:t>个月（从设计合同开始）拟定</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8</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招标范围</w:t>
            </w:r>
          </w:p>
        </w:tc>
        <w:tc>
          <w:tcPr>
            <w:tcW w:w="6480" w:type="dxa"/>
            <w:vAlign w:val="center"/>
          </w:tcPr>
          <w:p>
            <w:pPr>
              <w:adjustRightInd w:val="0"/>
              <w:snapToGrid w:val="0"/>
              <w:spacing w:line="360" w:lineRule="auto"/>
              <w:rPr>
                <w:rFonts w:ascii="仿宋_GB2312" w:hAnsi="宋体" w:eastAsia="仿宋_GB2312"/>
                <w:sz w:val="24"/>
              </w:rPr>
            </w:pPr>
            <w:r>
              <w:rPr>
                <w:rFonts w:hint="eastAsia" w:ascii="仿宋_GB2312" w:hAnsi="宋体" w:eastAsia="仿宋_GB2312"/>
                <w:sz w:val="24"/>
              </w:rPr>
              <w:t>设计（项目</w:t>
            </w:r>
            <w:r>
              <w:rPr>
                <w:rFonts w:hint="eastAsia" w:ascii="仿宋_GB2312" w:eastAsia="仿宋_GB2312"/>
                <w:sz w:val="24"/>
              </w:rPr>
              <w:t>技术要求及工程设计规范，附后）</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9</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投标人资格</w:t>
            </w:r>
          </w:p>
        </w:tc>
        <w:tc>
          <w:tcPr>
            <w:tcW w:w="6480" w:type="dxa"/>
            <w:vAlign w:val="center"/>
          </w:tcPr>
          <w:p>
            <w:pPr>
              <w:rPr>
                <w:rFonts w:ascii="仿宋_GB2312" w:hAnsi="宋体" w:eastAsia="仿宋_GB2312"/>
                <w:sz w:val="24"/>
              </w:rPr>
            </w:pPr>
            <w:r>
              <w:rPr>
                <w:rFonts w:hint="eastAsia" w:ascii="仿宋_GB2312" w:hAnsi="宋体" w:eastAsia="仿宋_GB2312"/>
                <w:sz w:val="24"/>
              </w:rPr>
              <w:t>具有</w:t>
            </w:r>
            <w:r>
              <w:rPr>
                <w:rFonts w:hint="eastAsia" w:ascii="仿宋_GB2312" w:hAnsi="宋体" w:eastAsia="仿宋_GB2312"/>
                <w:sz w:val="24"/>
                <w:lang w:val="en-US" w:eastAsia="zh-CN"/>
              </w:rPr>
              <w:t>110KV变电站</w:t>
            </w:r>
            <w:r>
              <w:rPr>
                <w:rFonts w:hint="eastAsia" w:ascii="仿宋_GB2312" w:hAnsi="宋体" w:eastAsia="仿宋_GB2312"/>
                <w:sz w:val="24"/>
              </w:rPr>
              <w:t>工程设计甲级设计资质。</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10</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投标有效期</w:t>
            </w:r>
          </w:p>
        </w:tc>
        <w:tc>
          <w:tcPr>
            <w:tcW w:w="6480" w:type="dxa"/>
            <w:vAlign w:val="center"/>
          </w:tcPr>
          <w:p>
            <w:pPr>
              <w:ind w:left="153"/>
              <w:rPr>
                <w:rFonts w:ascii="仿宋_GB2312" w:hAnsi="宋体" w:eastAsia="仿宋_GB2312"/>
                <w:sz w:val="24"/>
              </w:rPr>
            </w:pPr>
            <w:r>
              <w:rPr>
                <w:rFonts w:hint="eastAsia" w:ascii="仿宋_GB2312" w:hAnsi="宋体" w:eastAsia="仿宋_GB2312"/>
                <w:sz w:val="24"/>
              </w:rPr>
              <w:t>为</w:t>
            </w:r>
            <w:r>
              <w:rPr>
                <w:rFonts w:hint="eastAsia" w:ascii="仿宋_GB2312" w:hAnsi="宋体" w:eastAsia="仿宋_GB2312"/>
                <w:sz w:val="24"/>
                <w:u w:val="single"/>
              </w:rPr>
              <w:t>8</w:t>
            </w:r>
            <w:r>
              <w:rPr>
                <w:rFonts w:hint="eastAsia" w:ascii="仿宋_GB2312" w:hAnsi="宋体" w:eastAsia="仿宋_GB2312"/>
                <w:sz w:val="24"/>
              </w:rPr>
              <w:t>日历天（从投标截止日起算）</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11</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质疑及答疑</w:t>
            </w:r>
          </w:p>
        </w:tc>
        <w:tc>
          <w:tcPr>
            <w:tcW w:w="6480" w:type="dxa"/>
            <w:vAlign w:val="center"/>
          </w:tcPr>
          <w:p>
            <w:pPr>
              <w:rPr>
                <w:rFonts w:ascii="仿宋_GB2312" w:hAnsi="宋体" w:eastAsia="仿宋_GB2312"/>
                <w:sz w:val="24"/>
              </w:rPr>
            </w:pPr>
            <w:r>
              <w:rPr>
                <w:rFonts w:hint="eastAsia" w:ascii="仿宋_GB2312" w:hAnsi="宋体" w:eastAsia="仿宋_GB2312"/>
                <w:sz w:val="24"/>
              </w:rPr>
              <w:t>递交书面质疑的截止时间：2015年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15</w:t>
            </w:r>
            <w:r>
              <w:rPr>
                <w:rFonts w:hint="eastAsia" w:ascii="仿宋_GB2312" w:hAnsi="宋体" w:eastAsia="仿宋_GB2312"/>
                <w:sz w:val="24"/>
              </w:rPr>
              <w:t>日前</w:t>
            </w:r>
          </w:p>
        </w:tc>
      </w:tr>
      <w:tr>
        <w:trPr>
          <w:trHeight w:val="567" w:hRule="atLeast"/>
        </w:trPr>
        <w:tc>
          <w:tcPr>
            <w:tcW w:w="828" w:type="dxa"/>
            <w:vAlign w:val="center"/>
          </w:tcPr>
          <w:p>
            <w:pPr>
              <w:jc w:val="center"/>
              <w:rPr>
                <w:rFonts w:ascii="仿宋_GB2312" w:hAnsi="宋体" w:eastAsia="仿宋_GB2312"/>
                <w:sz w:val="24"/>
              </w:rPr>
            </w:pPr>
            <w:r>
              <w:rPr>
                <w:rFonts w:hint="eastAsia" w:ascii="仿宋_GB2312" w:hAnsi="宋体" w:eastAsia="仿宋_GB2312"/>
                <w:sz w:val="24"/>
              </w:rPr>
              <w:t>12</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投标文件组成</w:t>
            </w:r>
          </w:p>
          <w:p>
            <w:pPr>
              <w:ind w:left="153"/>
              <w:jc w:val="center"/>
              <w:rPr>
                <w:rFonts w:ascii="仿宋_GB2312" w:hAnsi="宋体" w:eastAsia="仿宋_GB2312"/>
                <w:sz w:val="24"/>
              </w:rPr>
            </w:pPr>
            <w:r>
              <w:rPr>
                <w:rFonts w:hint="eastAsia" w:ascii="仿宋_GB2312" w:hAnsi="宋体" w:eastAsia="仿宋_GB2312"/>
                <w:sz w:val="24"/>
              </w:rPr>
              <w:t>及数量</w:t>
            </w:r>
          </w:p>
        </w:tc>
        <w:tc>
          <w:tcPr>
            <w:tcW w:w="6480" w:type="dxa"/>
            <w:vAlign w:val="center"/>
          </w:tcPr>
          <w:p>
            <w:pPr>
              <w:pStyle w:val="20"/>
            </w:pPr>
            <w:r>
              <w:rPr>
                <w:rFonts w:hint="eastAsia"/>
              </w:rPr>
              <w:t xml:space="preserve">商务文件6份；  </w:t>
            </w:r>
          </w:p>
          <w:p>
            <w:pPr>
              <w:pStyle w:val="20"/>
            </w:pPr>
            <w:r>
              <w:rPr>
                <w:rFonts w:hint="eastAsia"/>
              </w:rPr>
              <w:t>技术文件6份；</w:t>
            </w:r>
          </w:p>
          <w:p>
            <w:pPr>
              <w:pStyle w:val="20"/>
            </w:pPr>
            <w:r>
              <w:rPr>
                <w:rFonts w:hint="eastAsia"/>
              </w:rPr>
              <w:t>报价清单6份。</w:t>
            </w:r>
          </w:p>
        </w:tc>
      </w:tr>
      <w:tr>
        <w:trPr>
          <w:trHeight w:val="567" w:hRule="atLeast"/>
        </w:trPr>
        <w:tc>
          <w:tcPr>
            <w:tcW w:w="828" w:type="dxa"/>
            <w:vAlign w:val="center"/>
          </w:tcPr>
          <w:p>
            <w:pPr>
              <w:jc w:val="center"/>
              <w:rPr>
                <w:rFonts w:ascii="仿宋_GB2312" w:hAnsi="宋体" w:eastAsia="仿宋_GB2312"/>
                <w:sz w:val="24"/>
              </w:rPr>
            </w:pPr>
            <w:r>
              <w:rPr>
                <w:rFonts w:hint="eastAsia" w:ascii="仿宋_GB2312" w:hAnsi="宋体" w:eastAsia="仿宋_GB2312"/>
                <w:sz w:val="24"/>
              </w:rPr>
              <w:t>13</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投标截止时间</w:t>
            </w:r>
          </w:p>
        </w:tc>
        <w:tc>
          <w:tcPr>
            <w:tcW w:w="6480" w:type="dxa"/>
            <w:vAlign w:val="center"/>
          </w:tcPr>
          <w:p>
            <w:pPr>
              <w:rPr>
                <w:rFonts w:ascii="仿宋_GB2312" w:hAnsi="宋体" w:eastAsia="仿宋_GB2312"/>
                <w:sz w:val="24"/>
              </w:rPr>
            </w:pPr>
            <w:r>
              <w:rPr>
                <w:rFonts w:hint="eastAsia" w:ascii="仿宋_GB2312" w:hAnsi="宋体" w:eastAsia="仿宋_GB2312"/>
                <w:sz w:val="24"/>
              </w:rPr>
              <w:t>递交投标文件时间：2015年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15</w:t>
            </w:r>
            <w:r>
              <w:rPr>
                <w:rFonts w:hint="eastAsia" w:ascii="仿宋_GB2312" w:hAnsi="宋体" w:eastAsia="仿宋_GB2312"/>
                <w:sz w:val="24"/>
              </w:rPr>
              <w:t>日8:30～9:00时</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14</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开标会</w:t>
            </w:r>
          </w:p>
        </w:tc>
        <w:tc>
          <w:tcPr>
            <w:tcW w:w="6480" w:type="dxa"/>
            <w:vAlign w:val="center"/>
          </w:tcPr>
          <w:p>
            <w:pPr>
              <w:rPr>
                <w:rFonts w:ascii="仿宋_GB2312" w:hAnsi="宋体" w:eastAsia="仿宋_GB2312"/>
                <w:sz w:val="24"/>
              </w:rPr>
            </w:pPr>
            <w:r>
              <w:rPr>
                <w:rFonts w:hint="eastAsia" w:ascii="仿宋_GB2312" w:hAnsi="宋体" w:eastAsia="仿宋_GB2312"/>
                <w:sz w:val="24"/>
              </w:rPr>
              <w:t>开标会时间：2015年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16</w:t>
            </w:r>
            <w:r>
              <w:rPr>
                <w:rFonts w:hint="eastAsia" w:ascii="仿宋_GB2312" w:hAnsi="宋体" w:eastAsia="仿宋_GB2312"/>
                <w:sz w:val="24"/>
              </w:rPr>
              <w:t>日9:00时</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15</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投标地点</w:t>
            </w:r>
          </w:p>
        </w:tc>
        <w:tc>
          <w:tcPr>
            <w:tcW w:w="6480" w:type="dxa"/>
            <w:vAlign w:val="center"/>
          </w:tcPr>
          <w:p>
            <w:pPr>
              <w:rPr>
                <w:rFonts w:ascii="仿宋_GB2312" w:hAnsi="宋体" w:eastAsia="仿宋_GB2312"/>
                <w:sz w:val="24"/>
              </w:rPr>
            </w:pPr>
            <w:r>
              <w:rPr>
                <w:rFonts w:hint="eastAsia" w:ascii="仿宋_GB2312" w:hAnsi="宋体" w:eastAsia="仿宋_GB2312"/>
                <w:sz w:val="24"/>
              </w:rPr>
              <w:t>芜湖新兴铸管有限责任公司设计所524会议室</w:t>
            </w:r>
          </w:p>
        </w:tc>
      </w:tr>
      <w:tr>
        <w:trPr>
          <w:trHeight w:val="567" w:hRule="atLeast"/>
        </w:trPr>
        <w:tc>
          <w:tcPr>
            <w:tcW w:w="82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16</w:t>
            </w:r>
          </w:p>
        </w:tc>
        <w:tc>
          <w:tcPr>
            <w:tcW w:w="1860" w:type="dxa"/>
            <w:vAlign w:val="center"/>
          </w:tcPr>
          <w:p>
            <w:pPr>
              <w:ind w:left="153"/>
              <w:jc w:val="center"/>
              <w:rPr>
                <w:rFonts w:ascii="仿宋_GB2312" w:hAnsi="宋体" w:eastAsia="仿宋_GB2312"/>
                <w:sz w:val="24"/>
              </w:rPr>
            </w:pPr>
            <w:r>
              <w:rPr>
                <w:rFonts w:hint="eastAsia" w:ascii="仿宋_GB2312" w:hAnsi="宋体" w:eastAsia="仿宋_GB2312"/>
                <w:sz w:val="24"/>
              </w:rPr>
              <w:t>投标办法</w:t>
            </w:r>
          </w:p>
        </w:tc>
        <w:tc>
          <w:tcPr>
            <w:tcW w:w="6480" w:type="dxa"/>
            <w:vAlign w:val="center"/>
          </w:tcPr>
          <w:p>
            <w:pPr>
              <w:rPr>
                <w:rFonts w:ascii="仿宋_GB2312" w:hAnsi="宋体" w:eastAsia="仿宋_GB2312"/>
                <w:sz w:val="24"/>
              </w:rPr>
            </w:pPr>
            <w:r>
              <w:rPr>
                <w:rFonts w:hint="eastAsia" w:ascii="仿宋_GB2312" w:hAnsi="宋体" w:eastAsia="仿宋_GB2312"/>
                <w:sz w:val="24"/>
                <w:lang w:eastAsia="zh-CN"/>
              </w:rPr>
              <w:t>公开</w:t>
            </w:r>
            <w:r>
              <w:rPr>
                <w:rFonts w:hint="eastAsia" w:ascii="仿宋_GB2312" w:hAnsi="宋体" w:eastAsia="仿宋_GB2312"/>
                <w:sz w:val="24"/>
              </w:rPr>
              <w:t>投标</w:t>
            </w:r>
          </w:p>
        </w:tc>
      </w:tr>
    </w:tbl>
    <w:p>
      <w:pPr>
        <w:rPr>
          <w:rFonts w:ascii="黑体" w:eastAsia="黑体"/>
          <w:sz w:val="32"/>
          <w:szCs w:val="32"/>
        </w:rPr>
      </w:pPr>
    </w:p>
    <w:p>
      <w:pPr>
        <w:rPr>
          <w:rFonts w:ascii="黑体" w:eastAsia="黑体"/>
          <w:sz w:val="32"/>
          <w:szCs w:val="32"/>
        </w:rPr>
      </w:pP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投 标 人 须 知</w:t>
      </w:r>
      <w:bookmarkStart w:id="2" w:name="_Toc47852423"/>
      <w:bookmarkStart w:id="3" w:name="_Toc48458833"/>
      <w:bookmarkStart w:id="4" w:name="_Toc135305428"/>
    </w:p>
    <w:p>
      <w:pPr>
        <w:jc w:val="center"/>
        <w:rPr>
          <w:rFonts w:ascii="黑体" w:hAnsi="Arial" w:eastAsia="黑体"/>
          <w:b/>
          <w:bCs/>
          <w:sz w:val="32"/>
          <w:szCs w:val="32"/>
        </w:rPr>
      </w:pPr>
      <w:r>
        <w:rPr>
          <w:rFonts w:hint="eastAsia" w:ascii="黑体" w:hAnsi="宋体" w:eastAsia="黑体"/>
          <w:sz w:val="32"/>
          <w:szCs w:val="32"/>
        </w:rPr>
        <w:t>一、总   则</w:t>
      </w:r>
      <w:bookmarkEnd w:id="2"/>
      <w:bookmarkEnd w:id="3"/>
      <w:bookmarkEnd w:id="4"/>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1. 工程概况</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 xml:space="preserve">    工程概况及合同名称见投标须知前附表。</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2. 资金来源</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 xml:space="preserve">    招标人的工程建设资金是通过前附表第</w:t>
      </w:r>
      <w:r>
        <w:rPr>
          <w:rFonts w:hint="eastAsia" w:ascii="仿宋_GB2312" w:hAnsi="Times New Roman" w:eastAsia="仿宋_GB2312"/>
          <w:sz w:val="24"/>
          <w:szCs w:val="24"/>
        </w:rPr>
        <w:t>5</w:t>
      </w:r>
      <w:r>
        <w:rPr>
          <w:rFonts w:ascii="仿宋_GB2312" w:hAnsi="Times New Roman" w:eastAsia="仿宋_GB2312"/>
          <w:sz w:val="24"/>
          <w:szCs w:val="24"/>
        </w:rPr>
        <w:t>项所述方式获得，并按合同规定支付。</w:t>
      </w:r>
    </w:p>
    <w:p>
      <w:pPr>
        <w:pStyle w:val="22"/>
        <w:snapToGrid w:val="0"/>
        <w:spacing w:line="480" w:lineRule="exact"/>
        <w:rPr>
          <w:rFonts w:ascii="仿宋_GB2312" w:hAnsi="Times New Roman" w:eastAsia="仿宋_GB2312"/>
          <w:sz w:val="24"/>
          <w:szCs w:val="24"/>
        </w:rPr>
      </w:pPr>
      <w:r>
        <w:rPr>
          <w:rFonts w:hint="eastAsia" w:ascii="仿宋_GB2312" w:hAnsi="Times New Roman" w:eastAsia="仿宋_GB2312"/>
          <w:sz w:val="24"/>
          <w:szCs w:val="24"/>
        </w:rPr>
        <w:t xml:space="preserve">3. </w:t>
      </w:r>
      <w:r>
        <w:rPr>
          <w:rFonts w:ascii="仿宋_GB2312" w:hAnsi="Times New Roman" w:eastAsia="仿宋_GB2312"/>
          <w:sz w:val="24"/>
          <w:szCs w:val="24"/>
        </w:rPr>
        <w:t>资质与合格条件要求</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3.1为保证履行本工程的合同，投标人应满足前附表第</w:t>
      </w:r>
      <w:r>
        <w:rPr>
          <w:rFonts w:hint="eastAsia" w:ascii="仿宋_GB2312" w:hAnsi="Times New Roman" w:eastAsia="仿宋_GB2312"/>
          <w:sz w:val="24"/>
          <w:szCs w:val="24"/>
        </w:rPr>
        <w:t>9</w:t>
      </w:r>
      <w:r>
        <w:rPr>
          <w:rFonts w:ascii="仿宋_GB2312" w:hAnsi="Times New Roman" w:eastAsia="仿宋_GB2312"/>
          <w:sz w:val="24"/>
          <w:szCs w:val="24"/>
        </w:rPr>
        <w:t>项所要求的资质等级。</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3.2投标人应提供符合招标文件要求的资格文件，证明其具备规定的合格性，以及有能力和充分的条件来有效地履行合同(投标人必须如实反映实际情况，对所报投标资料的真实性负责)。为此，所提交的投标文件中应包括下列资料：</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有关确立投标人法律地位的原始文件的副本，包括工商营业执照、工程设计证书及其他相关资质证等；</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4. 投标费用</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投标人参加投标、编制投标文件与递交投标文件、开标所涉及的一切费用自理。</w:t>
      </w:r>
      <w:bookmarkStart w:id="5" w:name="_Toc47852424"/>
      <w:bookmarkStart w:id="6" w:name="_Toc48458834"/>
      <w:bookmarkStart w:id="7" w:name="_Toc135305429"/>
    </w:p>
    <w:p>
      <w:pPr>
        <w:pStyle w:val="22"/>
        <w:snapToGrid w:val="0"/>
        <w:spacing w:line="480" w:lineRule="exact"/>
        <w:jc w:val="center"/>
        <w:rPr>
          <w:rFonts w:ascii="黑体" w:hAnsi="Times New Roman" w:eastAsia="黑体"/>
          <w:sz w:val="32"/>
          <w:szCs w:val="32"/>
        </w:rPr>
      </w:pPr>
      <w:r>
        <w:rPr>
          <w:rFonts w:hint="eastAsia" w:ascii="黑体" w:hAnsi="宋体" w:eastAsia="黑体"/>
          <w:sz w:val="32"/>
          <w:szCs w:val="32"/>
        </w:rPr>
        <w:t>二、招标文件</w:t>
      </w:r>
      <w:bookmarkEnd w:id="5"/>
      <w:bookmarkEnd w:id="6"/>
      <w:bookmarkEnd w:id="7"/>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 xml:space="preserve"> </w:t>
      </w:r>
      <w:r>
        <w:rPr>
          <w:rFonts w:ascii="仿宋_GB2312" w:hAnsi="Times New Roman" w:eastAsia="仿宋_GB2312"/>
          <w:sz w:val="24"/>
          <w:szCs w:val="24"/>
        </w:rPr>
        <w:t>招标文件的组成</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1.1本招标文件包括投标人须知、投标报价要求、投标书、评标办法、技术文件。</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1.2投标人应认真审阅招标文件中所有的投标须知、规定格式、招标文件内容要求。如果投标人的投标文件不能符合招标文件的要求，责任由投标人负责。实质上不响应招标文件的要求的投标文件将被拒绝。</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2.</w:t>
      </w:r>
      <w:r>
        <w:rPr>
          <w:rFonts w:hint="eastAsia" w:ascii="仿宋_GB2312" w:hAnsi="Times New Roman" w:eastAsia="仿宋_GB2312"/>
          <w:sz w:val="24"/>
          <w:szCs w:val="24"/>
        </w:rPr>
        <w:t xml:space="preserve"> </w:t>
      </w:r>
      <w:r>
        <w:rPr>
          <w:rFonts w:ascii="仿宋_GB2312" w:hAnsi="Times New Roman" w:eastAsia="仿宋_GB2312"/>
          <w:sz w:val="24"/>
          <w:szCs w:val="24"/>
        </w:rPr>
        <w:t>招标文件的解释</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 xml:space="preserve">    投标人在接到招标文件后，若有问题需澄清，应在投标截止之日之前以书面形式(包括书面文字、传真、电报等,下同)告知招标人，招标人将以书面形式予以解答，答复将送给所有获得同一招标文件的投标人。</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3.</w:t>
      </w:r>
      <w:r>
        <w:rPr>
          <w:rFonts w:hint="eastAsia" w:ascii="仿宋_GB2312" w:hAnsi="Times New Roman" w:eastAsia="仿宋_GB2312"/>
          <w:sz w:val="24"/>
          <w:szCs w:val="24"/>
        </w:rPr>
        <w:t xml:space="preserve"> </w:t>
      </w:r>
      <w:r>
        <w:rPr>
          <w:rFonts w:ascii="仿宋_GB2312" w:hAnsi="Times New Roman" w:eastAsia="仿宋_GB2312"/>
          <w:sz w:val="24"/>
          <w:szCs w:val="24"/>
        </w:rPr>
        <w:t>招标文件的修改</w:t>
      </w:r>
    </w:p>
    <w:p>
      <w:pPr>
        <w:pStyle w:val="22"/>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3.1在投标日期截止前，招标人可能会以补充通知的方式修改招标文件。</w:t>
      </w:r>
    </w:p>
    <w:p>
      <w:pPr>
        <w:pStyle w:val="22"/>
        <w:snapToGrid w:val="0"/>
        <w:spacing w:line="480" w:lineRule="exact"/>
        <w:ind w:firstLine="480" w:firstLineChars="200"/>
        <w:rPr>
          <w:rFonts w:ascii="仿宋_GB2312" w:eastAsia="仿宋_GB2312"/>
          <w:sz w:val="24"/>
          <w:szCs w:val="24"/>
        </w:rPr>
      </w:pPr>
      <w:r>
        <w:rPr>
          <w:rFonts w:hint="eastAsia" w:ascii="仿宋_GB2312" w:eastAsia="仿宋_GB2312"/>
          <w:sz w:val="24"/>
          <w:szCs w:val="24"/>
        </w:rPr>
        <w:t>3.2补充通知将以书面形式发给所有获得同一招标文件的投标人，补充通知作为招标文件的组成部分，对投标人起约束作用。补充通知将于投标截止日期前送达投标人。</w:t>
      </w:r>
      <w:bookmarkStart w:id="8" w:name="_Toc47852425"/>
      <w:bookmarkStart w:id="9" w:name="_Toc48458835"/>
      <w:bookmarkStart w:id="10" w:name="_Toc135305430"/>
    </w:p>
    <w:p>
      <w:pPr>
        <w:pStyle w:val="22"/>
        <w:snapToGrid w:val="0"/>
        <w:spacing w:line="480" w:lineRule="exact"/>
        <w:jc w:val="center"/>
      </w:pPr>
      <w:r>
        <w:rPr>
          <w:rFonts w:hint="eastAsia" w:ascii="黑体" w:eastAsia="黑体"/>
          <w:bCs/>
          <w:sz w:val="32"/>
          <w:szCs w:val="32"/>
        </w:rPr>
        <w:t>三、投标报价说明</w:t>
      </w:r>
      <w:bookmarkEnd w:id="8"/>
      <w:bookmarkEnd w:id="9"/>
      <w:bookmarkEnd w:id="10"/>
    </w:p>
    <w:p>
      <w:pPr>
        <w:pStyle w:val="22"/>
        <w:snapToGrid w:val="0"/>
        <w:spacing w:line="480" w:lineRule="exact"/>
        <w:ind w:firstLine="600" w:firstLineChars="250"/>
        <w:rPr>
          <w:rFonts w:ascii="仿宋_GB2312" w:eastAsia="仿宋_GB2312"/>
          <w:sz w:val="24"/>
          <w:szCs w:val="24"/>
        </w:rPr>
      </w:pPr>
      <w:r>
        <w:rPr>
          <w:rFonts w:hint="eastAsia" w:ascii="仿宋_GB2312" w:eastAsia="仿宋_GB2312"/>
          <w:sz w:val="24"/>
          <w:szCs w:val="24"/>
        </w:rPr>
        <w:t>投标文件报价中的单价和总价全部采用人民币表示。</w:t>
      </w:r>
      <w:bookmarkStart w:id="11" w:name="_Toc47852426"/>
      <w:bookmarkStart w:id="12" w:name="_Toc48458836"/>
      <w:bookmarkStart w:id="13" w:name="_Toc135305431"/>
    </w:p>
    <w:p>
      <w:pPr>
        <w:pStyle w:val="22"/>
        <w:snapToGrid w:val="0"/>
        <w:spacing w:line="480" w:lineRule="exact"/>
        <w:jc w:val="center"/>
        <w:rPr>
          <w:rFonts w:ascii="黑体" w:hAnsi="Times New Roman" w:eastAsia="黑体"/>
          <w:sz w:val="32"/>
          <w:szCs w:val="32"/>
        </w:rPr>
      </w:pPr>
      <w:r>
        <w:rPr>
          <w:rFonts w:hint="eastAsia" w:ascii="黑体" w:eastAsia="黑体"/>
          <w:bCs/>
          <w:sz w:val="32"/>
          <w:szCs w:val="32"/>
        </w:rPr>
        <w:t xml:space="preserve">  四、投标文件的编制</w:t>
      </w:r>
      <w:bookmarkEnd w:id="11"/>
      <w:bookmarkEnd w:id="12"/>
      <w:bookmarkEnd w:id="13"/>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 xml:space="preserve"> </w:t>
      </w:r>
      <w:r>
        <w:rPr>
          <w:rFonts w:ascii="仿宋_GB2312" w:hAnsi="Times New Roman" w:eastAsia="仿宋_GB2312"/>
          <w:sz w:val="24"/>
          <w:szCs w:val="24"/>
        </w:rPr>
        <w:t>投标文件的语言</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投标文件、投标人与招标人之间与投标有关的来往通知、函件、资料和文件均使用中文。</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2.</w:t>
      </w:r>
      <w:r>
        <w:rPr>
          <w:rFonts w:hint="eastAsia" w:ascii="仿宋_GB2312" w:hAnsi="Times New Roman" w:eastAsia="仿宋_GB2312"/>
          <w:sz w:val="24"/>
          <w:szCs w:val="24"/>
        </w:rPr>
        <w:t xml:space="preserve"> </w:t>
      </w:r>
      <w:r>
        <w:rPr>
          <w:rFonts w:ascii="仿宋_GB2312" w:hAnsi="Times New Roman" w:eastAsia="仿宋_GB2312"/>
          <w:sz w:val="24"/>
          <w:szCs w:val="24"/>
        </w:rPr>
        <w:t>投标文件的组成</w:t>
      </w:r>
    </w:p>
    <w:p>
      <w:pPr>
        <w:pStyle w:val="22"/>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2.1投标人的投标文件应包括下列内容：</w:t>
      </w:r>
    </w:p>
    <w:p>
      <w:pPr>
        <w:pStyle w:val="22"/>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投标书</w:t>
      </w:r>
    </w:p>
    <w:p>
      <w:pPr>
        <w:pStyle w:val="22"/>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法定代表人资格证明书或授权委托书</w:t>
      </w:r>
    </w:p>
    <w:p>
      <w:pPr>
        <w:pStyle w:val="22"/>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投标商务文件</w:t>
      </w:r>
    </w:p>
    <w:p>
      <w:pPr>
        <w:pStyle w:val="22"/>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投标技术文件</w:t>
      </w:r>
    </w:p>
    <w:p>
      <w:pPr>
        <w:pStyle w:val="22"/>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投标报价、分项</w:t>
      </w:r>
      <w:r>
        <w:rPr>
          <w:rFonts w:hint="eastAsia" w:ascii="仿宋_GB2312" w:hAnsi="Times New Roman" w:eastAsia="仿宋_GB2312"/>
          <w:sz w:val="24"/>
          <w:szCs w:val="24"/>
        </w:rPr>
        <w:t>设计</w:t>
      </w:r>
      <w:r>
        <w:rPr>
          <w:rFonts w:ascii="仿宋_GB2312" w:hAnsi="Times New Roman" w:eastAsia="仿宋_GB2312"/>
          <w:sz w:val="24"/>
          <w:szCs w:val="24"/>
        </w:rPr>
        <w:t>明细表等</w:t>
      </w:r>
    </w:p>
    <w:p>
      <w:pPr>
        <w:pStyle w:val="22"/>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投标文件规定提交的其他资料</w:t>
      </w:r>
    </w:p>
    <w:p>
      <w:pPr>
        <w:pStyle w:val="22"/>
        <w:numPr>
          <w:ilvl w:val="2"/>
          <w:numId w:val="3"/>
        </w:numPr>
        <w:snapToGrid w:val="0"/>
        <w:spacing w:line="480" w:lineRule="exact"/>
        <w:rPr>
          <w:rFonts w:ascii="仿宋_GB2312" w:hAnsi="Times New Roman" w:eastAsia="仿宋_GB2312"/>
          <w:sz w:val="24"/>
          <w:szCs w:val="24"/>
        </w:rPr>
      </w:pPr>
      <w:r>
        <w:rPr>
          <w:rFonts w:ascii="仿宋_GB2312" w:hAnsi="Times New Roman" w:eastAsia="仿宋_GB2312"/>
          <w:sz w:val="24"/>
          <w:szCs w:val="24"/>
        </w:rPr>
        <w:t>投标人应提供的其他资料</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3.</w:t>
      </w:r>
      <w:r>
        <w:rPr>
          <w:rFonts w:hint="eastAsia" w:ascii="仿宋_GB2312" w:hAnsi="Times New Roman" w:eastAsia="仿宋_GB2312"/>
          <w:sz w:val="24"/>
          <w:szCs w:val="24"/>
        </w:rPr>
        <w:t xml:space="preserve"> </w:t>
      </w:r>
      <w:r>
        <w:rPr>
          <w:rFonts w:ascii="仿宋_GB2312" w:hAnsi="Times New Roman" w:eastAsia="仿宋_GB2312"/>
          <w:sz w:val="24"/>
          <w:szCs w:val="24"/>
        </w:rPr>
        <w:t>投标有效期</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3.1投标有效期为前附表第</w:t>
      </w:r>
      <w:r>
        <w:rPr>
          <w:rFonts w:hint="eastAsia" w:ascii="仿宋_GB2312" w:hAnsi="Times New Roman" w:eastAsia="仿宋_GB2312"/>
          <w:sz w:val="24"/>
          <w:szCs w:val="24"/>
        </w:rPr>
        <w:t>10</w:t>
      </w:r>
      <w:r>
        <w:rPr>
          <w:rFonts w:ascii="仿宋_GB2312" w:hAnsi="Times New Roman" w:eastAsia="仿宋_GB2312"/>
          <w:sz w:val="24"/>
          <w:szCs w:val="24"/>
        </w:rPr>
        <w:t>项所列的日历日。</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3.2在原定投标有效期满之前，如果出现特殊情况需要延期，报有关部门批准后，招标人将以书面形式通知所有获得同一招标文件的投标人，投标人应以书面形式给予答复。</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4.</w:t>
      </w:r>
      <w:r>
        <w:rPr>
          <w:rFonts w:hint="eastAsia" w:ascii="仿宋_GB2312" w:hAnsi="Times New Roman" w:eastAsia="仿宋_GB2312"/>
          <w:sz w:val="24"/>
          <w:szCs w:val="24"/>
        </w:rPr>
        <w:t xml:space="preserve"> </w:t>
      </w:r>
      <w:r>
        <w:rPr>
          <w:rFonts w:ascii="仿宋_GB2312" w:hAnsi="Times New Roman" w:eastAsia="仿宋_GB2312"/>
          <w:sz w:val="24"/>
          <w:szCs w:val="24"/>
        </w:rPr>
        <w:t>问题答疑</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4.1对投标人提出的问题，招标人将整理成书面材料，以传真的形式答复所有投标人。</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4.2招标人向投标人提供的招标文件和所附资料及提出问题的书面答复，是招标人现有的能使投标人可利用的资料。投标人据此做出的理解、推论及结论，招标人概不负责。</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5.</w:t>
      </w:r>
      <w:r>
        <w:rPr>
          <w:rFonts w:hint="eastAsia" w:ascii="仿宋_GB2312" w:hAnsi="Times New Roman" w:eastAsia="仿宋_GB2312"/>
          <w:sz w:val="24"/>
          <w:szCs w:val="24"/>
        </w:rPr>
        <w:t xml:space="preserve"> </w:t>
      </w:r>
      <w:r>
        <w:rPr>
          <w:rFonts w:ascii="仿宋_GB2312" w:hAnsi="Times New Roman" w:eastAsia="仿宋_GB2312"/>
          <w:sz w:val="24"/>
          <w:szCs w:val="24"/>
        </w:rPr>
        <w:t>投标文件的份数和签署</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5.1投标人应编制投标文件“正本”一份和按前附表第</w:t>
      </w:r>
      <w:r>
        <w:rPr>
          <w:rFonts w:hint="eastAsia" w:ascii="仿宋_GB2312" w:hAnsi="Times New Roman" w:eastAsia="仿宋_GB2312"/>
          <w:sz w:val="24"/>
          <w:szCs w:val="24"/>
        </w:rPr>
        <w:t>12</w:t>
      </w:r>
      <w:r>
        <w:rPr>
          <w:rFonts w:ascii="仿宋_GB2312" w:hAnsi="Times New Roman" w:eastAsia="仿宋_GB2312"/>
          <w:sz w:val="24"/>
          <w:szCs w:val="24"/>
        </w:rPr>
        <w:t>项要求份数的“副本”，并标明“投标文件正本”和“投标文件副本”。如正本和副本有不一致之处，以正本为准。</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5.2投标文件正本与副本必须打印清晰，按页码顺序装订成册。投标文件应以投标人的法定代表人签署或经合法授权的委托代理人签字；投标书必须加盖投标人的印章。</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5.3投标文件的包封形式为：文件按技术卷和商务卷分别密封。</w:t>
      </w:r>
    </w:p>
    <w:p>
      <w:pPr>
        <w:pStyle w:val="22"/>
        <w:snapToGrid w:val="0"/>
        <w:spacing w:line="480" w:lineRule="exact"/>
        <w:ind w:firstLine="600" w:firstLineChars="250"/>
        <w:rPr>
          <w:rFonts w:ascii="仿宋_GB2312" w:eastAsia="仿宋_GB2312"/>
          <w:sz w:val="24"/>
          <w:szCs w:val="24"/>
        </w:rPr>
      </w:pPr>
      <w:r>
        <w:rPr>
          <w:rFonts w:hint="eastAsia" w:ascii="仿宋_GB2312" w:eastAsia="仿宋_GB2312"/>
          <w:sz w:val="24"/>
          <w:szCs w:val="24"/>
        </w:rPr>
        <w:t>5.4全套投标文件应无涂改和行间插字，如必须修改，修改处应由法定代表人(或委托代理人)签字。</w:t>
      </w:r>
      <w:bookmarkStart w:id="14" w:name="_Toc47852427"/>
      <w:bookmarkStart w:id="15" w:name="_Toc48458837"/>
      <w:bookmarkStart w:id="16" w:name="_Toc135305432"/>
    </w:p>
    <w:p>
      <w:pPr>
        <w:pStyle w:val="22"/>
        <w:snapToGrid w:val="0"/>
        <w:spacing w:line="480" w:lineRule="exact"/>
        <w:jc w:val="center"/>
        <w:rPr>
          <w:rFonts w:ascii="黑体" w:hAnsi="Times New Roman" w:eastAsia="黑体"/>
          <w:sz w:val="32"/>
          <w:szCs w:val="32"/>
        </w:rPr>
      </w:pPr>
      <w:r>
        <w:rPr>
          <w:rFonts w:hint="eastAsia" w:ascii="黑体" w:eastAsia="黑体"/>
          <w:bCs/>
          <w:sz w:val="32"/>
          <w:szCs w:val="32"/>
        </w:rPr>
        <w:t>五、投标文件的递交</w:t>
      </w:r>
      <w:bookmarkEnd w:id="14"/>
      <w:bookmarkEnd w:id="15"/>
      <w:bookmarkEnd w:id="16"/>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 xml:space="preserve"> </w:t>
      </w:r>
      <w:r>
        <w:rPr>
          <w:rFonts w:ascii="仿宋_GB2312" w:hAnsi="Times New Roman" w:eastAsia="仿宋_GB2312"/>
          <w:sz w:val="24"/>
          <w:szCs w:val="24"/>
        </w:rPr>
        <w:t>投标文件的密封与标志</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1.1投标人应将投标文件的正本和副本密封包封。</w:t>
      </w:r>
    </w:p>
    <w:p>
      <w:pPr>
        <w:spacing w:line="480" w:lineRule="exact"/>
        <w:ind w:firstLine="540" w:firstLineChars="225"/>
        <w:rPr>
          <w:rFonts w:ascii="仿宋_GB2312" w:eastAsia="仿宋_GB2312"/>
          <w:sz w:val="24"/>
        </w:rPr>
      </w:pPr>
      <w:r>
        <w:rPr>
          <w:rFonts w:hint="eastAsia" w:ascii="仿宋_GB2312" w:eastAsia="仿宋_GB2312"/>
          <w:sz w:val="24"/>
        </w:rPr>
        <w:t>1.2包封上应写明招标人名称和地址、工程名称、招标编号、并注明开标时间以前不得开封。并应写明投标人的名称与地址、邮政编码。</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1.3投标文件递交至前附表第</w:t>
      </w:r>
      <w:r>
        <w:rPr>
          <w:rFonts w:hint="eastAsia" w:ascii="仿宋_GB2312" w:hAnsi="Times New Roman" w:eastAsia="仿宋_GB2312"/>
          <w:sz w:val="24"/>
          <w:szCs w:val="24"/>
        </w:rPr>
        <w:t>14</w:t>
      </w:r>
      <w:r>
        <w:rPr>
          <w:rFonts w:ascii="仿宋_GB2312" w:hAnsi="Times New Roman" w:eastAsia="仿宋_GB2312"/>
          <w:sz w:val="24"/>
          <w:szCs w:val="24"/>
        </w:rPr>
        <w:t>项所述的单位和地址。</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2.</w:t>
      </w:r>
      <w:r>
        <w:rPr>
          <w:rFonts w:hint="eastAsia" w:ascii="仿宋_GB2312" w:hAnsi="Times New Roman" w:eastAsia="仿宋_GB2312"/>
          <w:sz w:val="24"/>
          <w:szCs w:val="24"/>
        </w:rPr>
        <w:t xml:space="preserve"> </w:t>
      </w:r>
      <w:r>
        <w:rPr>
          <w:rFonts w:ascii="仿宋_GB2312" w:hAnsi="Times New Roman" w:eastAsia="仿宋_GB2312"/>
          <w:sz w:val="24"/>
          <w:szCs w:val="24"/>
        </w:rPr>
        <w:t>投标截止期</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2.1投标文件应按前附表第</w:t>
      </w:r>
      <w:r>
        <w:rPr>
          <w:rFonts w:hint="eastAsia" w:ascii="仿宋_GB2312" w:hAnsi="Times New Roman" w:eastAsia="仿宋_GB2312"/>
          <w:sz w:val="24"/>
          <w:szCs w:val="24"/>
        </w:rPr>
        <w:t>13</w:t>
      </w:r>
      <w:r>
        <w:rPr>
          <w:rFonts w:ascii="仿宋_GB2312" w:hAnsi="Times New Roman" w:eastAsia="仿宋_GB2312"/>
          <w:sz w:val="24"/>
          <w:szCs w:val="24"/>
        </w:rPr>
        <w:t>项规定的日期和时间之前由专人送达招标人。</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2.2如发生特殊情况，需延长投标截止时间，招标人将以补充通知的方式，通知所有取得同一招标文件的投标人。在上述情况下，招标人与投标人在投标截止期前的全部权力、责任和义务，将适用于延长后新的投标截止时间。</w:t>
      </w:r>
    </w:p>
    <w:p>
      <w:pPr>
        <w:spacing w:line="480" w:lineRule="exact"/>
        <w:rPr>
          <w:rFonts w:ascii="仿宋_GB2312" w:eastAsia="仿宋_GB2312"/>
          <w:sz w:val="24"/>
        </w:rPr>
      </w:pPr>
      <w:r>
        <w:rPr>
          <w:rFonts w:hint="eastAsia" w:ascii="仿宋_GB2312" w:eastAsia="仿宋_GB2312"/>
          <w:sz w:val="24"/>
        </w:rPr>
        <w:t>3．投标文件的修改与撤回</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3</w:t>
      </w:r>
      <w:r>
        <w:rPr>
          <w:rFonts w:ascii="仿宋_GB2312" w:eastAsia="仿宋_GB2312"/>
          <w:sz w:val="24"/>
        </w:rPr>
        <w:t>.1</w:t>
      </w:r>
      <w:r>
        <w:rPr>
          <w:rFonts w:hint="eastAsia" w:ascii="仿宋_GB2312" w:eastAsia="仿宋_GB2312"/>
          <w:sz w:val="24"/>
        </w:rPr>
        <w:t>投标人可以在递交投标文件以后</w:t>
      </w:r>
      <w:r>
        <w:rPr>
          <w:rFonts w:ascii="仿宋_GB2312" w:eastAsia="仿宋_GB2312"/>
          <w:sz w:val="24"/>
        </w:rPr>
        <w:t>,</w:t>
      </w:r>
      <w:r>
        <w:rPr>
          <w:rFonts w:hint="eastAsia" w:ascii="仿宋_GB2312" w:eastAsia="仿宋_GB2312"/>
          <w:sz w:val="24"/>
        </w:rPr>
        <w:t>在规定的投标截止时间之前</w:t>
      </w:r>
      <w:r>
        <w:rPr>
          <w:rFonts w:ascii="仿宋_GB2312" w:eastAsia="仿宋_GB2312"/>
          <w:sz w:val="24"/>
        </w:rPr>
        <w:t>,</w:t>
      </w:r>
      <w:r>
        <w:rPr>
          <w:rFonts w:hint="eastAsia" w:ascii="仿宋_GB2312" w:eastAsia="仿宋_GB2312"/>
          <w:sz w:val="24"/>
        </w:rPr>
        <w:t>可以书面形式向招标人递交修改或撤回其投标文件的通知。在投标截止日期以后</w:t>
      </w:r>
      <w:r>
        <w:rPr>
          <w:rFonts w:ascii="仿宋_GB2312" w:eastAsia="仿宋_GB2312"/>
          <w:sz w:val="24"/>
        </w:rPr>
        <w:t>,</w:t>
      </w:r>
      <w:r>
        <w:rPr>
          <w:rFonts w:hint="eastAsia" w:ascii="仿宋_GB2312" w:eastAsia="仿宋_GB2312"/>
          <w:sz w:val="24"/>
        </w:rPr>
        <w:t>不能更改投标文件。</w:t>
      </w:r>
    </w:p>
    <w:p>
      <w:pPr>
        <w:spacing w:line="480" w:lineRule="exact"/>
        <w:ind w:firstLine="435"/>
        <w:rPr>
          <w:rFonts w:ascii="仿宋_GB2312" w:eastAsia="仿宋_GB2312"/>
          <w:sz w:val="24"/>
        </w:rPr>
      </w:pPr>
      <w:r>
        <w:rPr>
          <w:rFonts w:hint="eastAsia" w:ascii="仿宋_GB2312" w:eastAsia="仿宋_GB2312"/>
          <w:sz w:val="24"/>
        </w:rPr>
        <w:t>3.2投标人的修改或撤回通知,应按相关规定编制、密封、标志和递交(在内层包封标明“修改”或“撤回”字样)。</w:t>
      </w:r>
      <w:bookmarkStart w:id="17" w:name="_Toc47852428"/>
      <w:bookmarkStart w:id="18" w:name="_Toc48458838"/>
      <w:bookmarkStart w:id="19" w:name="_Toc135305433"/>
    </w:p>
    <w:p>
      <w:pPr>
        <w:spacing w:line="480" w:lineRule="exact"/>
        <w:jc w:val="center"/>
        <w:rPr>
          <w:rFonts w:ascii="黑体" w:eastAsia="黑体"/>
          <w:sz w:val="32"/>
          <w:szCs w:val="32"/>
        </w:rPr>
      </w:pPr>
      <w:r>
        <w:rPr>
          <w:rFonts w:hint="eastAsia" w:ascii="黑体" w:eastAsia="黑体"/>
          <w:bCs/>
          <w:sz w:val="32"/>
          <w:szCs w:val="32"/>
        </w:rPr>
        <w:t>六、开   标</w:t>
      </w:r>
      <w:bookmarkEnd w:id="17"/>
      <w:bookmarkEnd w:id="18"/>
      <w:bookmarkEnd w:id="19"/>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w:t>
      </w:r>
      <w:r>
        <w:rPr>
          <w:rFonts w:ascii="仿宋_GB2312" w:hAnsi="Times New Roman" w:eastAsia="仿宋_GB2312"/>
          <w:sz w:val="24"/>
          <w:szCs w:val="24"/>
        </w:rPr>
        <w:t>招标人于规定的时间和地点举行开标会议，所有投标人的法定代表人或委托代理人必须出席。</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2</w:t>
      </w:r>
      <w:r>
        <w:rPr>
          <w:rFonts w:hint="eastAsia" w:ascii="仿宋_GB2312" w:hAnsi="Times New Roman" w:eastAsia="仿宋_GB2312"/>
          <w:sz w:val="24"/>
          <w:szCs w:val="24"/>
        </w:rPr>
        <w:t>．</w:t>
      </w:r>
      <w:r>
        <w:rPr>
          <w:rFonts w:ascii="仿宋_GB2312" w:hAnsi="Times New Roman" w:eastAsia="仿宋_GB2312"/>
          <w:sz w:val="24"/>
          <w:szCs w:val="24"/>
        </w:rPr>
        <w:t>开标会议由招标方组织并主持。对投标文件进行检查并登记，由投标人法人代表或授权代理人签字。</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3</w:t>
      </w:r>
      <w:r>
        <w:rPr>
          <w:rFonts w:hint="eastAsia" w:ascii="仿宋_GB2312" w:hAnsi="Times New Roman" w:eastAsia="仿宋_GB2312"/>
          <w:sz w:val="24"/>
          <w:szCs w:val="24"/>
        </w:rPr>
        <w:t>．</w:t>
      </w:r>
      <w:r>
        <w:rPr>
          <w:rFonts w:ascii="仿宋_GB2312" w:hAnsi="Times New Roman" w:eastAsia="仿宋_GB2312"/>
          <w:sz w:val="24"/>
          <w:szCs w:val="24"/>
        </w:rPr>
        <w:t>投标人法人代表或授权代理人未参加开标会议的视为自动弃权。投标文件有下列情况之一者，将视为废标；</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3.1投标书无法定代表人(或委托代理人)签字或未加盖单位公章；</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3.2投标文件未经密封和未加盖单位公章；</w:t>
      </w:r>
    </w:p>
    <w:p>
      <w:pPr>
        <w:pStyle w:val="22"/>
        <w:snapToGrid w:val="0"/>
        <w:spacing w:line="480" w:lineRule="exact"/>
        <w:ind w:firstLine="540" w:firstLineChars="225"/>
        <w:rPr>
          <w:rFonts w:ascii="仿宋_GB2312" w:eastAsia="仿宋_GB2312"/>
          <w:sz w:val="24"/>
          <w:szCs w:val="24"/>
        </w:rPr>
      </w:pPr>
      <w:r>
        <w:rPr>
          <w:rFonts w:hint="eastAsia" w:ascii="仿宋_GB2312" w:eastAsia="仿宋_GB2312"/>
          <w:sz w:val="24"/>
          <w:szCs w:val="24"/>
        </w:rPr>
        <w:t>3.3投标文件超过投标截止时间送达。</w:t>
      </w:r>
      <w:bookmarkStart w:id="20" w:name="_Toc47852429"/>
      <w:bookmarkStart w:id="21" w:name="_Toc48458839"/>
      <w:bookmarkStart w:id="22" w:name="_Toc135305434"/>
    </w:p>
    <w:p>
      <w:pPr>
        <w:pStyle w:val="22"/>
        <w:snapToGrid w:val="0"/>
        <w:spacing w:line="480" w:lineRule="exact"/>
        <w:jc w:val="center"/>
        <w:rPr>
          <w:rFonts w:ascii="黑体" w:hAnsi="Times New Roman" w:eastAsia="黑体"/>
          <w:sz w:val="32"/>
          <w:szCs w:val="32"/>
        </w:rPr>
      </w:pPr>
      <w:r>
        <w:rPr>
          <w:rFonts w:hint="eastAsia" w:ascii="黑体" w:eastAsia="黑体"/>
          <w:bCs/>
          <w:sz w:val="32"/>
          <w:szCs w:val="32"/>
        </w:rPr>
        <w:t>七、评   标</w:t>
      </w:r>
      <w:bookmarkEnd w:id="20"/>
      <w:bookmarkEnd w:id="21"/>
      <w:bookmarkEnd w:id="22"/>
    </w:p>
    <w:p>
      <w:pPr>
        <w:spacing w:line="480" w:lineRule="exact"/>
        <w:rPr>
          <w:rFonts w:ascii="仿宋_GB2312" w:eastAsia="仿宋_GB2312"/>
          <w:sz w:val="24"/>
        </w:rPr>
      </w:pPr>
      <w:r>
        <w:rPr>
          <w:rFonts w:hint="eastAsia" w:ascii="仿宋_GB2312" w:eastAsia="仿宋_GB2312"/>
          <w:sz w:val="24"/>
        </w:rPr>
        <w:t>1．评标内容的保密</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1</w:t>
      </w:r>
      <w:r>
        <w:rPr>
          <w:rFonts w:ascii="仿宋_GB2312" w:eastAsia="仿宋_GB2312"/>
          <w:sz w:val="24"/>
        </w:rPr>
        <w:t>.1</w:t>
      </w:r>
      <w:r>
        <w:rPr>
          <w:rFonts w:hint="eastAsia" w:ascii="仿宋_GB2312" w:eastAsia="仿宋_GB2312"/>
          <w:sz w:val="24"/>
        </w:rPr>
        <w:t>公开开标后</w:t>
      </w:r>
      <w:r>
        <w:rPr>
          <w:rFonts w:ascii="仿宋_GB2312" w:eastAsia="仿宋_GB2312"/>
          <w:sz w:val="24"/>
        </w:rPr>
        <w:t>,</w:t>
      </w:r>
      <w:r>
        <w:rPr>
          <w:rFonts w:hint="eastAsia" w:ascii="仿宋_GB2312" w:eastAsia="仿宋_GB2312"/>
          <w:sz w:val="24"/>
        </w:rPr>
        <w:t>直到宣布授予中标单位合同为止</w:t>
      </w:r>
      <w:r>
        <w:rPr>
          <w:rFonts w:ascii="仿宋_GB2312" w:eastAsia="仿宋_GB2312"/>
          <w:sz w:val="24"/>
        </w:rPr>
        <w:t>,</w:t>
      </w:r>
      <w:r>
        <w:rPr>
          <w:rFonts w:hint="eastAsia" w:ascii="仿宋_GB2312" w:eastAsia="仿宋_GB2312"/>
          <w:sz w:val="24"/>
        </w:rPr>
        <w:t>凡属于审查、澄清、评价和比较投标的有关资料</w:t>
      </w:r>
      <w:r>
        <w:rPr>
          <w:rFonts w:ascii="仿宋_GB2312" w:eastAsia="仿宋_GB2312"/>
          <w:sz w:val="24"/>
        </w:rPr>
        <w:t>,</w:t>
      </w:r>
      <w:r>
        <w:rPr>
          <w:rFonts w:hint="eastAsia" w:ascii="仿宋_GB2312" w:eastAsia="仿宋_GB2312"/>
          <w:sz w:val="24"/>
        </w:rPr>
        <w:t>和有关授予合同的信息</w:t>
      </w:r>
      <w:r>
        <w:rPr>
          <w:rFonts w:ascii="仿宋_GB2312" w:eastAsia="仿宋_GB2312"/>
          <w:sz w:val="24"/>
        </w:rPr>
        <w:t>,</w:t>
      </w:r>
      <w:r>
        <w:rPr>
          <w:rFonts w:hint="eastAsia" w:ascii="仿宋_GB2312" w:eastAsia="仿宋_GB2312"/>
          <w:sz w:val="24"/>
        </w:rPr>
        <w:t>都不应向投标人或与该过程无关的其他人泄露。</w:t>
      </w:r>
    </w:p>
    <w:p>
      <w:pPr>
        <w:spacing w:line="480" w:lineRule="exact"/>
        <w:ind w:firstLine="480" w:firstLineChars="200"/>
        <w:rPr>
          <w:rFonts w:ascii="仿宋_GB2312" w:eastAsia="仿宋_GB2312"/>
          <w:sz w:val="24"/>
        </w:rPr>
      </w:pPr>
      <w:r>
        <w:rPr>
          <w:rFonts w:hint="eastAsia" w:ascii="仿宋_GB2312" w:eastAsia="仿宋_GB2312"/>
          <w:sz w:val="24"/>
        </w:rPr>
        <w:t>1</w:t>
      </w:r>
      <w:r>
        <w:rPr>
          <w:rFonts w:ascii="仿宋_GB2312" w:eastAsia="仿宋_GB2312"/>
          <w:sz w:val="24"/>
        </w:rPr>
        <w:t>.2</w:t>
      </w:r>
      <w:r>
        <w:rPr>
          <w:rFonts w:hint="eastAsia" w:ascii="仿宋_GB2312" w:eastAsia="仿宋_GB2312"/>
          <w:sz w:val="24"/>
        </w:rPr>
        <w:t>在投标文件的审查、澄清、评价和比较以及授予合同的过程中</w:t>
      </w:r>
      <w:r>
        <w:rPr>
          <w:rFonts w:ascii="仿宋_GB2312" w:eastAsia="仿宋_GB2312"/>
          <w:sz w:val="24"/>
        </w:rPr>
        <w:t>,</w:t>
      </w:r>
      <w:r>
        <w:rPr>
          <w:rFonts w:hint="eastAsia" w:ascii="仿宋_GB2312" w:eastAsia="仿宋_GB2312"/>
          <w:sz w:val="24"/>
        </w:rPr>
        <w:t>投标人对招标人和评标机构其他成员施加影响的任何行为</w:t>
      </w:r>
      <w:r>
        <w:rPr>
          <w:rFonts w:ascii="仿宋_GB2312" w:eastAsia="仿宋_GB2312"/>
          <w:sz w:val="24"/>
        </w:rPr>
        <w:t>,</w:t>
      </w:r>
      <w:r>
        <w:rPr>
          <w:rFonts w:hint="eastAsia" w:ascii="仿宋_GB2312" w:eastAsia="仿宋_GB2312"/>
          <w:sz w:val="24"/>
        </w:rPr>
        <w:t>都将导致取消投标资格。</w:t>
      </w:r>
    </w:p>
    <w:p>
      <w:pPr>
        <w:spacing w:line="480" w:lineRule="exact"/>
        <w:rPr>
          <w:rFonts w:ascii="仿宋_GB2312" w:eastAsia="仿宋_GB2312"/>
          <w:sz w:val="24"/>
        </w:rPr>
      </w:pPr>
      <w:r>
        <w:rPr>
          <w:rFonts w:hint="eastAsia" w:ascii="仿宋_GB2312" w:eastAsia="仿宋_GB2312"/>
          <w:sz w:val="24"/>
        </w:rPr>
        <w:t>2．资格审查</w:t>
      </w:r>
    </w:p>
    <w:p>
      <w:pPr>
        <w:spacing w:line="480" w:lineRule="exact"/>
        <w:ind w:firstLine="480" w:firstLineChars="200"/>
        <w:rPr>
          <w:rFonts w:ascii="仿宋_GB2312" w:eastAsia="仿宋_GB2312"/>
          <w:sz w:val="24"/>
        </w:rPr>
      </w:pPr>
      <w:r>
        <w:rPr>
          <w:rFonts w:hint="eastAsia" w:ascii="仿宋_GB2312" w:eastAsia="仿宋_GB2312"/>
          <w:sz w:val="24"/>
        </w:rPr>
        <w:t>在详细评审前须对投标文件进行资格审查</w:t>
      </w:r>
      <w:r>
        <w:rPr>
          <w:rFonts w:ascii="仿宋_GB2312" w:eastAsia="仿宋_GB2312"/>
          <w:sz w:val="24"/>
        </w:rPr>
        <w:t>,</w:t>
      </w:r>
      <w:r>
        <w:rPr>
          <w:rFonts w:hint="eastAsia" w:ascii="仿宋_GB2312" w:eastAsia="仿宋_GB2312"/>
          <w:sz w:val="24"/>
        </w:rPr>
        <w:t>只有资格审查合格的投标人</w:t>
      </w:r>
      <w:r>
        <w:rPr>
          <w:rFonts w:ascii="仿宋_GB2312" w:eastAsia="仿宋_GB2312"/>
          <w:sz w:val="24"/>
        </w:rPr>
        <w:t>,</w:t>
      </w:r>
      <w:r>
        <w:rPr>
          <w:rFonts w:hint="eastAsia" w:ascii="仿宋_GB2312" w:eastAsia="仿宋_GB2312"/>
          <w:sz w:val="24"/>
        </w:rPr>
        <w:t>其投标文件才能进行评价与比较。</w:t>
      </w:r>
    </w:p>
    <w:p>
      <w:pPr>
        <w:spacing w:line="480" w:lineRule="exact"/>
        <w:rPr>
          <w:rFonts w:ascii="仿宋_GB2312" w:eastAsia="仿宋_GB2312"/>
          <w:sz w:val="24"/>
        </w:rPr>
      </w:pPr>
      <w:r>
        <w:rPr>
          <w:rFonts w:hint="eastAsia" w:ascii="仿宋_GB2312" w:eastAsia="仿宋_GB2312"/>
          <w:sz w:val="24"/>
        </w:rPr>
        <w:t>3．投标文件的澄清</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为了有助于投标文件的审查、评价和比较</w:t>
      </w:r>
      <w:r>
        <w:rPr>
          <w:rFonts w:ascii="仿宋_GB2312" w:eastAsia="仿宋_GB2312"/>
          <w:sz w:val="24"/>
        </w:rPr>
        <w:t>,</w:t>
      </w:r>
      <w:r>
        <w:rPr>
          <w:rFonts w:hint="eastAsia" w:ascii="仿宋_GB2312" w:eastAsia="仿宋_GB2312"/>
          <w:sz w:val="24"/>
        </w:rPr>
        <w:t>评标机构可以个别要求投标人澄清其投标文件。有关澄清的要求与答复</w:t>
      </w:r>
      <w:r>
        <w:rPr>
          <w:rFonts w:ascii="仿宋_GB2312" w:eastAsia="仿宋_GB2312"/>
          <w:sz w:val="24"/>
        </w:rPr>
        <w:t>,</w:t>
      </w:r>
      <w:r>
        <w:rPr>
          <w:rFonts w:hint="eastAsia" w:ascii="仿宋_GB2312" w:eastAsia="仿宋_GB2312"/>
          <w:sz w:val="24"/>
        </w:rPr>
        <w:t>应以书面形式进行，但不允许更改投标的实质性内容。</w:t>
      </w:r>
    </w:p>
    <w:p>
      <w:pPr>
        <w:spacing w:line="480" w:lineRule="exact"/>
        <w:rPr>
          <w:rFonts w:ascii="仿宋_GB2312" w:eastAsia="仿宋_GB2312"/>
          <w:sz w:val="24"/>
        </w:rPr>
      </w:pPr>
      <w:r>
        <w:rPr>
          <w:rFonts w:hint="eastAsia" w:ascii="仿宋_GB2312" w:eastAsia="仿宋_GB2312"/>
          <w:sz w:val="24"/>
        </w:rPr>
        <w:t>4．投标文件的符合性鉴定</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4</w:t>
      </w:r>
      <w:r>
        <w:rPr>
          <w:rFonts w:ascii="仿宋_GB2312" w:eastAsia="仿宋_GB2312"/>
          <w:sz w:val="24"/>
        </w:rPr>
        <w:t>.1</w:t>
      </w:r>
      <w:r>
        <w:rPr>
          <w:rFonts w:hint="eastAsia" w:ascii="仿宋_GB2312" w:eastAsia="仿宋_GB2312"/>
          <w:sz w:val="24"/>
        </w:rPr>
        <w:t>在详细评标之前</w:t>
      </w:r>
      <w:r>
        <w:rPr>
          <w:rFonts w:ascii="仿宋_GB2312" w:eastAsia="仿宋_GB2312"/>
          <w:sz w:val="24"/>
        </w:rPr>
        <w:t>,</w:t>
      </w:r>
      <w:r>
        <w:rPr>
          <w:rFonts w:hint="eastAsia" w:ascii="仿宋_GB2312" w:eastAsia="仿宋_GB2312"/>
          <w:sz w:val="24"/>
        </w:rPr>
        <w:t>评标机构将首先审定每份投标文件是否在实质上响应了招标文件的要求。</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4</w:t>
      </w:r>
      <w:r>
        <w:rPr>
          <w:rFonts w:ascii="仿宋_GB2312" w:eastAsia="仿宋_GB2312"/>
          <w:sz w:val="24"/>
        </w:rPr>
        <w:t>.2</w:t>
      </w:r>
      <w:r>
        <w:rPr>
          <w:rFonts w:hint="eastAsia" w:ascii="仿宋_GB2312" w:eastAsia="仿宋_GB2312"/>
          <w:sz w:val="24"/>
        </w:rPr>
        <w:t>就本条款而言</w:t>
      </w:r>
      <w:r>
        <w:rPr>
          <w:rFonts w:ascii="仿宋_GB2312" w:eastAsia="仿宋_GB2312"/>
          <w:sz w:val="24"/>
        </w:rPr>
        <w:t>,</w:t>
      </w:r>
      <w:r>
        <w:rPr>
          <w:rFonts w:hint="eastAsia" w:ascii="仿宋_GB2312" w:eastAsia="仿宋_GB2312"/>
          <w:sz w:val="24"/>
        </w:rPr>
        <w:t>实质上响应要求的投标文件</w:t>
      </w:r>
      <w:r>
        <w:rPr>
          <w:rFonts w:ascii="仿宋_GB2312" w:eastAsia="仿宋_GB2312"/>
          <w:sz w:val="24"/>
        </w:rPr>
        <w:t>,</w:t>
      </w:r>
      <w:r>
        <w:rPr>
          <w:rFonts w:hint="eastAsia" w:ascii="仿宋_GB2312" w:eastAsia="仿宋_GB2312"/>
          <w:sz w:val="24"/>
        </w:rPr>
        <w:t>应该与招标文件的所有规定要求、条件、条款和规范相符</w:t>
      </w:r>
      <w:r>
        <w:rPr>
          <w:rFonts w:ascii="仿宋_GB2312" w:eastAsia="仿宋_GB2312"/>
          <w:sz w:val="24"/>
        </w:rPr>
        <w:t>,</w:t>
      </w:r>
      <w:r>
        <w:rPr>
          <w:rFonts w:hint="eastAsia" w:ascii="仿宋_GB2312" w:eastAsia="仿宋_GB2312"/>
          <w:sz w:val="24"/>
        </w:rPr>
        <w:t>无显著差异或保留。所谓显著差异或保留是指对工程的发包范围、质量标准及应用产生实质性影响；或者对合同中规定的招标人的权力及投标人的责任造成实质性限制；而且纠正这种差异或保留，将会对其他实质上响应要求的投标人的竞争地位产生不公正的影响。</w:t>
      </w:r>
    </w:p>
    <w:p>
      <w:pPr>
        <w:spacing w:line="4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4</w:t>
      </w:r>
      <w:r>
        <w:rPr>
          <w:rFonts w:ascii="仿宋_GB2312" w:eastAsia="仿宋_GB2312"/>
          <w:sz w:val="24"/>
        </w:rPr>
        <w:t>.3</w:t>
      </w:r>
      <w:r>
        <w:rPr>
          <w:rFonts w:hint="eastAsia" w:ascii="仿宋_GB2312" w:eastAsia="仿宋_GB2312"/>
          <w:sz w:val="24"/>
        </w:rPr>
        <w:t>如果投标文件实质上不响应招标文件的要求</w:t>
      </w:r>
      <w:r>
        <w:rPr>
          <w:rFonts w:ascii="仿宋_GB2312" w:eastAsia="仿宋_GB2312"/>
          <w:sz w:val="24"/>
        </w:rPr>
        <w:t>,</w:t>
      </w:r>
      <w:r>
        <w:rPr>
          <w:rFonts w:hint="eastAsia" w:ascii="仿宋_GB2312" w:eastAsia="仿宋_GB2312"/>
          <w:sz w:val="24"/>
        </w:rPr>
        <w:t>招标人将予以拒绝</w:t>
      </w:r>
      <w:r>
        <w:rPr>
          <w:rFonts w:ascii="仿宋_GB2312" w:eastAsia="仿宋_GB2312"/>
          <w:sz w:val="24"/>
        </w:rPr>
        <w:t>,</w:t>
      </w:r>
      <w:r>
        <w:rPr>
          <w:rFonts w:hint="eastAsia" w:ascii="仿宋_GB2312" w:eastAsia="仿宋_GB2312"/>
          <w:sz w:val="24"/>
        </w:rPr>
        <w:t>并且不允许通过修正或撤消其不符合要求的差异或保留</w:t>
      </w:r>
      <w:r>
        <w:rPr>
          <w:rFonts w:ascii="仿宋_GB2312" w:eastAsia="仿宋_GB2312"/>
          <w:sz w:val="24"/>
        </w:rPr>
        <w:t>,</w:t>
      </w:r>
      <w:r>
        <w:rPr>
          <w:rFonts w:hint="eastAsia" w:ascii="仿宋_GB2312" w:eastAsia="仿宋_GB2312"/>
          <w:sz w:val="24"/>
        </w:rPr>
        <w:t>使之成为具有响应性的投标。</w:t>
      </w:r>
    </w:p>
    <w:p>
      <w:pPr>
        <w:pStyle w:val="22"/>
        <w:snapToGrid w:val="0"/>
        <w:spacing w:line="480" w:lineRule="exact"/>
        <w:rPr>
          <w:rFonts w:ascii="仿宋_GB2312" w:hAnsi="Times New Roman" w:eastAsia="仿宋_GB2312"/>
          <w:sz w:val="24"/>
          <w:szCs w:val="24"/>
        </w:rPr>
      </w:pPr>
      <w:r>
        <w:rPr>
          <w:rFonts w:ascii="仿宋_GB2312" w:hAnsi="Times New Roman" w:eastAsia="仿宋_GB2312"/>
          <w:sz w:val="24"/>
          <w:szCs w:val="24"/>
        </w:rPr>
        <w:t>5</w:t>
      </w:r>
      <w:r>
        <w:rPr>
          <w:rFonts w:hint="eastAsia" w:ascii="仿宋_GB2312" w:hAnsi="Times New Roman" w:eastAsia="仿宋_GB2312"/>
          <w:sz w:val="24"/>
          <w:szCs w:val="24"/>
        </w:rPr>
        <w:t>．</w:t>
      </w:r>
      <w:r>
        <w:rPr>
          <w:rFonts w:ascii="仿宋_GB2312" w:hAnsi="Times New Roman" w:eastAsia="仿宋_GB2312"/>
          <w:sz w:val="24"/>
          <w:szCs w:val="24"/>
        </w:rPr>
        <w:t>评标办法</w:t>
      </w:r>
    </w:p>
    <w:p>
      <w:pPr>
        <w:pStyle w:val="22"/>
        <w:snapToGrid w:val="0"/>
        <w:spacing w:line="480" w:lineRule="exact"/>
        <w:ind w:firstLine="540" w:firstLineChars="225"/>
        <w:rPr>
          <w:rFonts w:ascii="仿宋_GB2312" w:hAnsi="Times New Roman" w:eastAsia="仿宋_GB2312"/>
          <w:sz w:val="24"/>
          <w:szCs w:val="24"/>
        </w:rPr>
      </w:pPr>
      <w:r>
        <w:rPr>
          <w:rFonts w:ascii="仿宋_GB2312" w:hAnsi="Times New Roman" w:eastAsia="仿宋_GB2312"/>
          <w:sz w:val="24"/>
          <w:szCs w:val="24"/>
        </w:rPr>
        <w:t>5.1 在评标期间，招标人给予投标人60分钟陈述时间（其中30分钟为投标人陈述总包方案；30分钟为评委会针对投标人所提陈述方案进行提问），投标人同时还应将陈述方案及所澄清的问题书面提交评标委员会。</w:t>
      </w:r>
    </w:p>
    <w:p>
      <w:pPr>
        <w:pStyle w:val="22"/>
        <w:snapToGrid w:val="0"/>
        <w:spacing w:line="480" w:lineRule="exact"/>
        <w:ind w:firstLine="540" w:firstLineChars="225"/>
        <w:rPr>
          <w:rFonts w:ascii="仿宋_GB2312" w:eastAsia="仿宋_GB2312"/>
          <w:sz w:val="24"/>
          <w:szCs w:val="24"/>
        </w:rPr>
      </w:pPr>
      <w:r>
        <w:rPr>
          <w:rFonts w:hint="eastAsia" w:ascii="仿宋_GB2312" w:eastAsia="仿宋_GB2312"/>
          <w:sz w:val="24"/>
          <w:szCs w:val="24"/>
        </w:rPr>
        <w:t>5.2评标办法见第九章</w:t>
      </w:r>
      <w:bookmarkStart w:id="23" w:name="_Toc47852430"/>
      <w:bookmarkStart w:id="24" w:name="_Toc48458840"/>
      <w:bookmarkStart w:id="25" w:name="_Toc135305435"/>
      <w:r>
        <w:rPr>
          <w:rFonts w:hint="eastAsia" w:ascii="仿宋_GB2312" w:eastAsia="仿宋_GB2312"/>
          <w:sz w:val="24"/>
          <w:szCs w:val="24"/>
        </w:rPr>
        <w:t>。</w:t>
      </w:r>
    </w:p>
    <w:p>
      <w:pPr>
        <w:pStyle w:val="22"/>
        <w:snapToGrid w:val="0"/>
        <w:spacing w:line="480" w:lineRule="exact"/>
        <w:jc w:val="center"/>
        <w:rPr>
          <w:rFonts w:ascii="黑体" w:hAnsi="Times New Roman" w:eastAsia="黑体"/>
          <w:sz w:val="32"/>
          <w:szCs w:val="32"/>
        </w:rPr>
      </w:pPr>
      <w:r>
        <w:rPr>
          <w:rFonts w:hint="eastAsia" w:ascii="黑体" w:eastAsia="黑体"/>
          <w:bCs/>
          <w:sz w:val="32"/>
          <w:szCs w:val="32"/>
        </w:rPr>
        <w:t>八、授予合同</w:t>
      </w:r>
      <w:bookmarkEnd w:id="23"/>
      <w:bookmarkEnd w:id="24"/>
      <w:bookmarkEnd w:id="25"/>
    </w:p>
    <w:p>
      <w:pPr>
        <w:spacing w:line="480" w:lineRule="exact"/>
        <w:rPr>
          <w:rFonts w:ascii="仿宋_GB2312" w:eastAsia="仿宋_GB2312"/>
          <w:sz w:val="24"/>
        </w:rPr>
      </w:pPr>
      <w:r>
        <w:rPr>
          <w:rFonts w:hint="eastAsia" w:ascii="仿宋_GB2312" w:eastAsia="仿宋_GB2312"/>
          <w:sz w:val="24"/>
        </w:rPr>
        <w:t>1．合同授予标准</w:t>
      </w:r>
    </w:p>
    <w:p>
      <w:pPr>
        <w:spacing w:line="480" w:lineRule="exact"/>
        <w:ind w:firstLine="570"/>
        <w:rPr>
          <w:rFonts w:ascii="仿宋_GB2312" w:eastAsia="仿宋_GB2312"/>
          <w:sz w:val="24"/>
        </w:rPr>
      </w:pPr>
      <w:r>
        <w:rPr>
          <w:rFonts w:hint="eastAsia" w:ascii="仿宋_GB2312" w:eastAsia="仿宋_GB2312"/>
          <w:sz w:val="24"/>
        </w:rPr>
        <w:t>确定为中标的投标人必须是：具有实施本合同的能力、经验、人力、物力、财力和信誉的，设计方案具有明显的先进性合理性并且报价合理的投标人，但不承诺最低报价一定中标。</w:t>
      </w:r>
    </w:p>
    <w:p>
      <w:pPr>
        <w:spacing w:line="480" w:lineRule="exact"/>
        <w:rPr>
          <w:rFonts w:ascii="仿宋_GB2312" w:eastAsia="仿宋_GB2312"/>
          <w:sz w:val="24"/>
        </w:rPr>
      </w:pPr>
      <w:bookmarkStart w:id="26" w:name="_Toc135305694"/>
      <w:bookmarkStart w:id="27" w:name="_Toc234377907"/>
      <w:r>
        <w:rPr>
          <w:rFonts w:hint="eastAsia" w:ascii="仿宋_GB2312" w:eastAsia="仿宋_GB2312"/>
          <w:sz w:val="24"/>
        </w:rPr>
        <w:t>2</w:t>
      </w:r>
      <w:r>
        <w:rPr>
          <w:rFonts w:ascii="仿宋_GB2312" w:eastAsia="仿宋_GB2312"/>
          <w:sz w:val="24"/>
        </w:rPr>
        <w:t>.</w:t>
      </w:r>
      <w:r>
        <w:rPr>
          <w:rFonts w:hint="eastAsia" w:ascii="仿宋_GB2312" w:eastAsia="仿宋_GB2312"/>
          <w:sz w:val="24"/>
        </w:rPr>
        <w:t xml:space="preserve"> 中标通知书</w:t>
      </w:r>
      <w:bookmarkEnd w:id="26"/>
      <w:bookmarkEnd w:id="27"/>
    </w:p>
    <w:p>
      <w:pPr>
        <w:spacing w:line="480" w:lineRule="exact"/>
        <w:ind w:firstLine="480" w:firstLineChars="200"/>
        <w:rPr>
          <w:rFonts w:ascii="仿宋_GB2312" w:eastAsia="仿宋_GB2312"/>
          <w:sz w:val="24"/>
        </w:rPr>
      </w:pPr>
      <w:r>
        <w:rPr>
          <w:rFonts w:hint="eastAsia" w:ascii="仿宋_GB2312" w:eastAsia="仿宋_GB2312"/>
          <w:sz w:val="24"/>
        </w:rPr>
        <w:t>2</w:t>
      </w:r>
      <w:r>
        <w:rPr>
          <w:rFonts w:ascii="仿宋_GB2312" w:eastAsia="仿宋_GB2312"/>
          <w:sz w:val="24"/>
        </w:rPr>
        <w:t>.1</w:t>
      </w:r>
      <w:r>
        <w:rPr>
          <w:rFonts w:hint="eastAsia" w:ascii="仿宋_GB2312" w:eastAsia="仿宋_GB2312"/>
          <w:sz w:val="24"/>
        </w:rPr>
        <w:t>确定出中标单位后，招标人将以书面形式通知中标的投标人其投标被接受。</w:t>
      </w:r>
    </w:p>
    <w:p>
      <w:pPr>
        <w:pStyle w:val="22"/>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2.2中标通知书将成为合同的组成部分。</w:t>
      </w:r>
    </w:p>
    <w:p>
      <w:pPr>
        <w:pStyle w:val="22"/>
        <w:snapToGrid w:val="0"/>
        <w:spacing w:line="480" w:lineRule="exact"/>
        <w:ind w:firstLine="480" w:firstLineChars="200"/>
        <w:rPr>
          <w:rFonts w:ascii="仿宋_GB2312" w:hAnsi="Times New Roman" w:eastAsia="仿宋_GB2312"/>
          <w:sz w:val="24"/>
          <w:szCs w:val="24"/>
        </w:rPr>
      </w:pPr>
      <w:r>
        <w:rPr>
          <w:rFonts w:ascii="仿宋_GB2312" w:hAnsi="Times New Roman" w:eastAsia="仿宋_GB2312"/>
          <w:sz w:val="24"/>
          <w:szCs w:val="24"/>
        </w:rPr>
        <w:t>2.3在中标单位按规定提供了履约担保后,招标人将及时将未中标的结果通知其他投标人。</w:t>
      </w:r>
    </w:p>
    <w:p>
      <w:pPr>
        <w:spacing w:line="480" w:lineRule="exact"/>
        <w:rPr>
          <w:rFonts w:ascii="仿宋_GB2312" w:eastAsia="仿宋_GB2312"/>
          <w:sz w:val="24"/>
        </w:rPr>
      </w:pPr>
      <w:bookmarkStart w:id="28" w:name="_Toc135305695"/>
      <w:bookmarkStart w:id="29" w:name="_Toc234377908"/>
      <w:r>
        <w:rPr>
          <w:rFonts w:hint="eastAsia" w:ascii="仿宋_GB2312" w:eastAsia="仿宋_GB2312"/>
          <w:sz w:val="24"/>
        </w:rPr>
        <w:t>3．合同协议书的签署</w:t>
      </w:r>
      <w:bookmarkEnd w:id="28"/>
      <w:bookmarkEnd w:id="29"/>
    </w:p>
    <w:p>
      <w:pPr>
        <w:spacing w:line="480" w:lineRule="exact"/>
        <w:ind w:firstLine="540"/>
        <w:rPr>
          <w:rFonts w:ascii="仿宋_GB2312" w:eastAsia="仿宋_GB2312"/>
          <w:sz w:val="24"/>
        </w:rPr>
      </w:pPr>
      <w:r>
        <w:rPr>
          <w:rFonts w:hint="eastAsia" w:ascii="仿宋_GB2312" w:eastAsia="仿宋_GB2312"/>
          <w:sz w:val="24"/>
        </w:rPr>
        <w:t>招标人有权对投标报价中的错误进行调整。中标单位按中标通知书中规定的日期、时间和地点，由法定代表人或委托代理人前往与业主单位进行签订合同。</w:t>
      </w:r>
    </w:p>
    <w:p>
      <w:pPr>
        <w:rPr>
          <w:rFonts w:ascii="仿宋_GB2312" w:eastAsia="仿宋_GB2312"/>
          <w:sz w:val="24"/>
        </w:rPr>
      </w:pPr>
    </w:p>
    <w:p>
      <w:pPr>
        <w:jc w:val="center"/>
        <w:rPr>
          <w:rFonts w:ascii="黑体" w:eastAsia="黑体"/>
          <w:sz w:val="32"/>
          <w:szCs w:val="32"/>
        </w:rPr>
      </w:pPr>
      <w:bookmarkStart w:id="30" w:name="_Hlt165369642"/>
      <w:bookmarkEnd w:id="30"/>
    </w:p>
    <w:p>
      <w:pPr>
        <w:jc w:val="center"/>
        <w:outlineLvl w:val="0"/>
        <w:rPr>
          <w:rFonts w:ascii="黑体" w:eastAsia="黑体"/>
          <w:sz w:val="32"/>
          <w:szCs w:val="32"/>
        </w:rPr>
      </w:pPr>
      <w:bookmarkStart w:id="31" w:name="_Toc19223"/>
      <w:r>
        <w:rPr>
          <w:rFonts w:hint="eastAsia" w:ascii="黑体" w:eastAsia="黑体"/>
          <w:sz w:val="32"/>
          <w:szCs w:val="32"/>
        </w:rPr>
        <w:t>第</w:t>
      </w:r>
      <w:r>
        <w:rPr>
          <w:rFonts w:hint="eastAsia" w:ascii="黑体" w:eastAsia="黑体"/>
          <w:sz w:val="32"/>
          <w:szCs w:val="32"/>
          <w:lang w:eastAsia="zh-CN"/>
        </w:rPr>
        <w:t>三</w:t>
      </w:r>
      <w:r>
        <w:rPr>
          <w:rFonts w:hint="eastAsia" w:ascii="黑体" w:eastAsia="黑体"/>
          <w:sz w:val="32"/>
          <w:szCs w:val="32"/>
        </w:rPr>
        <w:t>部分   项目技术要求及工程设计规范</w:t>
      </w:r>
      <w:bookmarkEnd w:id="31"/>
    </w:p>
    <w:p>
      <w:pPr>
        <w:jc w:val="center"/>
        <w:rPr>
          <w:rFonts w:ascii="黑体" w:eastAsia="黑体"/>
          <w:sz w:val="32"/>
          <w:szCs w:val="32"/>
        </w:rPr>
      </w:pPr>
      <w:r>
        <w:rPr>
          <w:rFonts w:hint="eastAsia" w:ascii="黑体" w:eastAsia="黑体"/>
          <w:sz w:val="32"/>
          <w:szCs w:val="32"/>
        </w:rPr>
        <w:t>一、工程概况</w:t>
      </w:r>
    </w:p>
    <w:p>
      <w:pPr>
        <w:autoSpaceDE w:val="0"/>
        <w:autoSpaceDN w:val="0"/>
        <w:adjustRightInd w:val="0"/>
        <w:spacing w:line="360" w:lineRule="auto"/>
        <w:ind w:firstLine="523" w:firstLineChars="218"/>
        <w:rPr>
          <w:rFonts w:ascii="仿宋_GB2312" w:hAnsi="宋体" w:eastAsia="仿宋_GB2312"/>
          <w:sz w:val="24"/>
        </w:rPr>
      </w:pPr>
      <w:r>
        <w:rPr>
          <w:rFonts w:hint="eastAsia" w:ascii="仿宋_GB2312" w:hAnsi="宋体" w:eastAsia="仿宋_GB2312"/>
          <w:sz w:val="24"/>
        </w:rPr>
        <w:t>芜湖新兴铸管三山工业园位于芜湖市三山临江工业园内，北面为华电，西临长江大堤，南临小江。其中</w:t>
      </w:r>
      <w:r>
        <w:rPr>
          <w:rFonts w:hint="eastAsia" w:ascii="仿宋_GB2312" w:hAnsi="宋体" w:eastAsia="仿宋_GB2312"/>
          <w:sz w:val="24"/>
          <w:lang w:eastAsia="zh-CN"/>
        </w:rPr>
        <w:t>变电站</w:t>
      </w:r>
      <w:r>
        <w:rPr>
          <w:rFonts w:hint="eastAsia" w:ascii="仿宋_GB2312" w:hAnsi="宋体" w:eastAsia="仿宋_GB2312"/>
          <w:sz w:val="24"/>
        </w:rPr>
        <w:t>项目位于厂区的西南位置，在总图中的位置我方会以邮件形式传给各投标方。</w:t>
      </w:r>
      <w:bookmarkStart w:id="32" w:name="_Toc163574043"/>
      <w:bookmarkStart w:id="33" w:name="_Toc163812726"/>
      <w:bookmarkStart w:id="34" w:name="_Toc163816229"/>
      <w:bookmarkStart w:id="35" w:name="_Toc164677701"/>
      <w:bookmarkStart w:id="36" w:name="_Toc166549672"/>
    </w:p>
    <w:p>
      <w:pPr>
        <w:autoSpaceDE w:val="0"/>
        <w:autoSpaceDN w:val="0"/>
        <w:adjustRightInd w:val="0"/>
        <w:spacing w:line="360" w:lineRule="auto"/>
        <w:rPr>
          <w:rFonts w:ascii="仿宋_GB2312" w:hAnsi="宋体" w:eastAsia="仿宋_GB2312"/>
          <w:sz w:val="24"/>
        </w:rPr>
      </w:pPr>
      <w:r>
        <w:rPr>
          <w:rFonts w:hint="eastAsia" w:ascii="仿宋_GB2312" w:eastAsia="仿宋_GB2312"/>
          <w:sz w:val="24"/>
        </w:rPr>
        <w:t>1．厂址地形地貌</w:t>
      </w:r>
      <w:bookmarkEnd w:id="32"/>
      <w:bookmarkEnd w:id="33"/>
      <w:bookmarkEnd w:id="34"/>
      <w:bookmarkEnd w:id="35"/>
      <w:bookmarkEnd w:id="36"/>
    </w:p>
    <w:p>
      <w:pPr>
        <w:snapToGrid w:val="0"/>
        <w:spacing w:line="360" w:lineRule="auto"/>
        <w:ind w:firstLine="540" w:firstLineChars="225"/>
        <w:rPr>
          <w:rFonts w:ascii="仿宋_GB2312" w:hAnsi="宋体" w:eastAsia="仿宋_GB2312"/>
          <w:sz w:val="24"/>
        </w:rPr>
      </w:pPr>
      <w:r>
        <w:rPr>
          <w:rFonts w:hint="eastAsia" w:ascii="仿宋_GB2312" w:hAnsi="宋体" w:eastAsia="仿宋_GB2312"/>
          <w:sz w:val="24"/>
        </w:rPr>
        <w:t>本工程场地临江，海拔为7-9m左右。</w:t>
      </w:r>
    </w:p>
    <w:p>
      <w:pPr>
        <w:autoSpaceDE w:val="0"/>
        <w:autoSpaceDN w:val="0"/>
        <w:adjustRightInd w:val="0"/>
        <w:spacing w:line="360" w:lineRule="auto"/>
        <w:rPr>
          <w:rFonts w:ascii="仿宋_GB2312" w:hAnsi="宋体" w:eastAsia="仿宋_GB2312"/>
          <w:sz w:val="24"/>
        </w:rPr>
      </w:pPr>
      <w:bookmarkStart w:id="37" w:name="_Toc163574045"/>
      <w:bookmarkStart w:id="38" w:name="_Toc163812728"/>
      <w:bookmarkStart w:id="39" w:name="_Toc163816231"/>
      <w:r>
        <w:rPr>
          <w:rFonts w:hint="eastAsia" w:ascii="仿宋_GB2312" w:eastAsia="仿宋_GB2312"/>
          <w:sz w:val="24"/>
        </w:rPr>
        <w:t>2．地质条件</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场地受区域构造影响，岩性以砂岩、泥岩、灰岩为主，岩体风化破碎。区域抗震设防烈度为6度；地震动峰值加速度值为0.05g，地震动反映谱特征周期值为0.35s。场地土类型综合为中软场地土，覆盖层厚度为3～50米，故判定建筑场地类别为Ⅱ类。</w:t>
      </w:r>
      <w:bookmarkEnd w:id="37"/>
      <w:bookmarkEnd w:id="38"/>
      <w:bookmarkEnd w:id="39"/>
    </w:p>
    <w:p>
      <w:pPr>
        <w:autoSpaceDE w:val="0"/>
        <w:autoSpaceDN w:val="0"/>
        <w:adjustRightInd w:val="0"/>
        <w:spacing w:line="360" w:lineRule="auto"/>
        <w:rPr>
          <w:rFonts w:ascii="仿宋_GB2312" w:hAnsi="宋体" w:eastAsia="仿宋_GB2312"/>
          <w:sz w:val="24"/>
        </w:rPr>
      </w:pPr>
      <w:r>
        <w:rPr>
          <w:rFonts w:hint="eastAsia" w:ascii="仿宋_GB2312" w:eastAsia="仿宋_GB2312"/>
          <w:sz w:val="24"/>
        </w:rPr>
        <w:t>3．气象情况</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3.1 气压</w:t>
      </w:r>
    </w:p>
    <w:p>
      <w:pPr>
        <w:pStyle w:val="24"/>
        <w:spacing w:line="360" w:lineRule="auto"/>
        <w:ind w:left="899" w:leftChars="428" w:firstLine="1"/>
        <w:rPr>
          <w:rFonts w:ascii="仿宋_GB2312" w:eastAsia="仿宋_GB2312"/>
          <w:sz w:val="24"/>
        </w:rPr>
      </w:pPr>
      <w:r>
        <w:rPr>
          <w:rFonts w:hint="eastAsia" w:ascii="仿宋_GB2312" w:eastAsia="仿宋_GB2312"/>
          <w:sz w:val="24"/>
        </w:rPr>
        <w:t>年平均大气压101.42kPa</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3.2 气温</w:t>
      </w:r>
    </w:p>
    <w:p>
      <w:pPr>
        <w:pStyle w:val="24"/>
        <w:spacing w:line="360" w:lineRule="auto"/>
        <w:ind w:left="899" w:leftChars="428" w:firstLine="1"/>
        <w:rPr>
          <w:rFonts w:ascii="仿宋_GB2312" w:eastAsia="仿宋_GB2312"/>
          <w:sz w:val="24"/>
        </w:rPr>
      </w:pPr>
      <w:r>
        <w:rPr>
          <w:rFonts w:hint="eastAsia" w:ascii="仿宋_GB2312" w:eastAsia="仿宋_GB2312"/>
          <w:sz w:val="24"/>
        </w:rPr>
        <w:t>历年平均气温为     16℃</w:t>
      </w:r>
    </w:p>
    <w:p>
      <w:pPr>
        <w:pStyle w:val="24"/>
        <w:spacing w:line="360" w:lineRule="auto"/>
        <w:ind w:left="899" w:leftChars="428" w:firstLine="1"/>
        <w:rPr>
          <w:rFonts w:ascii="仿宋_GB2312" w:eastAsia="仿宋_GB2312"/>
          <w:sz w:val="24"/>
        </w:rPr>
      </w:pPr>
      <w:r>
        <w:rPr>
          <w:rFonts w:hint="eastAsia" w:ascii="仿宋_GB2312" w:eastAsia="仿宋_GB2312"/>
          <w:sz w:val="24"/>
        </w:rPr>
        <w:t>月平均最高气温为 31.3℃</w:t>
      </w:r>
    </w:p>
    <w:p>
      <w:pPr>
        <w:pStyle w:val="24"/>
        <w:spacing w:line="360" w:lineRule="auto"/>
        <w:ind w:left="899" w:leftChars="428" w:firstLine="1"/>
        <w:rPr>
          <w:rFonts w:ascii="仿宋_GB2312" w:eastAsia="仿宋_GB2312"/>
          <w:sz w:val="24"/>
        </w:rPr>
      </w:pPr>
      <w:r>
        <w:rPr>
          <w:rFonts w:hint="eastAsia" w:ascii="仿宋_GB2312" w:eastAsia="仿宋_GB2312"/>
          <w:sz w:val="24"/>
        </w:rPr>
        <w:t>月平均最低气温为 -3.9℃</w:t>
      </w:r>
    </w:p>
    <w:p>
      <w:pPr>
        <w:pStyle w:val="24"/>
        <w:spacing w:line="360" w:lineRule="auto"/>
        <w:ind w:left="899" w:leftChars="428" w:firstLine="1"/>
        <w:rPr>
          <w:rFonts w:ascii="仿宋_GB2312" w:eastAsia="仿宋_GB2312"/>
          <w:sz w:val="24"/>
        </w:rPr>
      </w:pPr>
      <w:r>
        <w:rPr>
          <w:rFonts w:hint="eastAsia" w:ascii="仿宋_GB2312" w:eastAsia="仿宋_GB2312"/>
          <w:sz w:val="24"/>
        </w:rPr>
        <w:t>极端最高气温为   39.5℃</w:t>
      </w:r>
    </w:p>
    <w:p>
      <w:pPr>
        <w:pStyle w:val="24"/>
        <w:spacing w:line="360" w:lineRule="auto"/>
        <w:ind w:left="899" w:leftChars="428" w:firstLine="1"/>
        <w:rPr>
          <w:rFonts w:ascii="仿宋_GB2312" w:eastAsia="仿宋_GB2312"/>
          <w:sz w:val="24"/>
        </w:rPr>
      </w:pPr>
      <w:r>
        <w:rPr>
          <w:rFonts w:hint="eastAsia" w:ascii="仿宋_GB2312" w:eastAsia="仿宋_GB2312"/>
          <w:sz w:val="24"/>
        </w:rPr>
        <w:t>极端最低气温为    -13℃</w:t>
      </w:r>
    </w:p>
    <w:p>
      <w:pPr>
        <w:spacing w:line="360" w:lineRule="auto"/>
        <w:ind w:firstLine="420" w:firstLineChars="200"/>
        <w:rPr>
          <w:rFonts w:ascii="仿宋_GB2312" w:hAnsi="宋体" w:eastAsia="仿宋_GB2312"/>
          <w:sz w:val="24"/>
        </w:rPr>
      </w:pPr>
      <w:r>
        <w:rPr>
          <w:rFonts w:ascii="Times New Roman" w:hAnsi="Times New Roman" w:eastAsia="宋体" w:cs="Times New Roman"/>
          <w:kern w:val="2"/>
          <w:sz w:val="21"/>
          <w:szCs w:val="24"/>
          <w:lang w:val="en-US" w:eastAsia="zh-CN" w:bidi="ar-SA"/>
        </w:rPr>
        <w:pict>
          <v:shape id="_x0000_s1025" type="#_x0000_t75" style="position:absolute;left:0;margin-left:267.75pt;margin-top:7.1pt;height:89.7pt;width:86.65pt;rotation:0f;z-index:251658240;" o:ole="t" fillcolor="#FFFFFF" filled="f" o:preferrelative="t" stroked="f" coordorigin="0,0" coordsize="21600,21600">
            <v:fill on="f" color2="#FFFFFF" focus="0%"/>
            <v:imagedata cropleft="12743f" croptop="18842f" cropright="35271f" cropbottom="9011f" gain="65536f" blacklevel="0f" gamma="0" o:title="" r:id="rId9"/>
            <o:lock v:ext="edit" position="f" selection="f" grouping="f" rotation="f" cropping="f" text="f" aspectratio="t"/>
          </v:shape>
          <o:OLEObject Type="Embed" ProgID="AutoCAD.Drawing.17" ShapeID="_x0000_s1025" DrawAspect="Content" ObjectID="_1025" r:id="rId8"/>
        </w:pict>
      </w:r>
      <w:r>
        <w:rPr>
          <w:rFonts w:hint="eastAsia" w:ascii="仿宋_GB2312" w:hAnsi="宋体" w:eastAsia="仿宋_GB2312"/>
          <w:sz w:val="24"/>
        </w:rPr>
        <w:t>3.3风向及风速</w:t>
      </w:r>
    </w:p>
    <w:p>
      <w:pPr>
        <w:pStyle w:val="24"/>
        <w:spacing w:line="360" w:lineRule="auto"/>
        <w:ind w:left="899" w:leftChars="428" w:firstLine="1"/>
        <w:rPr>
          <w:rFonts w:ascii="仿宋_GB2312" w:eastAsia="仿宋_GB2312"/>
          <w:sz w:val="24"/>
        </w:rPr>
      </w:pPr>
      <w:r>
        <w:rPr>
          <w:rFonts w:hint="eastAsia" w:ascii="仿宋_GB2312" w:eastAsia="仿宋_GB2312"/>
          <w:sz w:val="24"/>
        </w:rPr>
        <w:t>最大风速为28m/s</w:t>
      </w:r>
      <w:bookmarkStart w:id="45" w:name="_GoBack"/>
      <w:bookmarkEnd w:id="45"/>
    </w:p>
    <w:p>
      <w:pPr>
        <w:pStyle w:val="24"/>
        <w:spacing w:line="360" w:lineRule="auto"/>
        <w:ind w:left="899" w:leftChars="428" w:firstLine="1"/>
        <w:rPr>
          <w:rFonts w:ascii="仿宋_GB2312" w:eastAsia="仿宋_GB2312"/>
          <w:sz w:val="24"/>
        </w:rPr>
      </w:pPr>
      <w:r>
        <w:rPr>
          <w:rFonts w:hint="eastAsia" w:ascii="仿宋_GB2312" w:eastAsia="仿宋_GB2312"/>
          <w:sz w:val="24"/>
        </w:rPr>
        <w:t>平均风速为2.4 m/s</w:t>
      </w:r>
    </w:p>
    <w:p>
      <w:pPr>
        <w:pStyle w:val="24"/>
        <w:spacing w:line="360" w:lineRule="auto"/>
        <w:ind w:left="899" w:leftChars="428" w:firstLine="1"/>
        <w:rPr>
          <w:rFonts w:ascii="仿宋_GB2312" w:eastAsia="仿宋_GB2312"/>
          <w:sz w:val="24"/>
        </w:rPr>
      </w:pPr>
      <w:r>
        <w:rPr>
          <w:rFonts w:hint="eastAsia" w:ascii="仿宋_GB2312" w:eastAsia="仿宋_GB2312"/>
          <w:sz w:val="24"/>
        </w:rPr>
        <w:t>年主导风向为东北风。风玫瑰右图示。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3.4 降雨量</w:t>
      </w:r>
    </w:p>
    <w:p>
      <w:pPr>
        <w:pStyle w:val="24"/>
        <w:spacing w:line="360" w:lineRule="auto"/>
        <w:ind w:left="899" w:leftChars="428" w:firstLine="1"/>
        <w:rPr>
          <w:rFonts w:ascii="仿宋_GB2312" w:eastAsia="仿宋_GB2312"/>
          <w:sz w:val="24"/>
        </w:rPr>
      </w:pPr>
      <w:r>
        <w:rPr>
          <w:rFonts w:hint="eastAsia" w:ascii="仿宋_GB2312" w:eastAsia="仿宋_GB2312"/>
          <w:sz w:val="24"/>
        </w:rPr>
        <w:t>历年平均降雨量 1204.27mm</w:t>
      </w:r>
    </w:p>
    <w:p>
      <w:pPr>
        <w:pStyle w:val="24"/>
        <w:spacing w:line="360" w:lineRule="auto"/>
        <w:ind w:left="899" w:leftChars="428" w:firstLine="1"/>
        <w:rPr>
          <w:rFonts w:ascii="仿宋_GB2312" w:eastAsia="仿宋_GB2312"/>
          <w:sz w:val="24"/>
        </w:rPr>
      </w:pPr>
      <w:r>
        <w:rPr>
          <w:rFonts w:hint="eastAsia" w:ascii="仿宋_GB2312" w:eastAsia="仿宋_GB2312"/>
          <w:sz w:val="24"/>
        </w:rPr>
        <w:t>最大年降雨量    1906.5mm</w:t>
      </w:r>
    </w:p>
    <w:p>
      <w:pPr>
        <w:pStyle w:val="24"/>
        <w:spacing w:line="360" w:lineRule="auto"/>
        <w:ind w:left="899" w:leftChars="428" w:firstLine="1"/>
        <w:rPr>
          <w:rFonts w:ascii="仿宋_GB2312" w:eastAsia="仿宋_GB2312"/>
          <w:sz w:val="24"/>
        </w:rPr>
      </w:pPr>
      <w:r>
        <w:rPr>
          <w:rFonts w:hint="eastAsia" w:ascii="仿宋_GB2312" w:eastAsia="仿宋_GB2312"/>
          <w:sz w:val="24"/>
        </w:rPr>
        <w:t>最小年降雨量     565.7mm</w:t>
      </w:r>
    </w:p>
    <w:p>
      <w:pPr>
        <w:pStyle w:val="24"/>
        <w:spacing w:line="360" w:lineRule="auto"/>
        <w:ind w:left="899" w:leftChars="428" w:firstLine="1"/>
        <w:rPr>
          <w:rFonts w:ascii="仿宋_GB2312" w:eastAsia="仿宋_GB2312"/>
          <w:sz w:val="24"/>
        </w:rPr>
      </w:pPr>
      <w:r>
        <w:rPr>
          <w:rFonts w:hint="eastAsia" w:ascii="仿宋_GB2312" w:eastAsia="仿宋_GB2312"/>
          <w:sz w:val="24"/>
        </w:rPr>
        <w:t>日最大降雨量       233mm</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3.5 湿度</w:t>
      </w:r>
    </w:p>
    <w:p>
      <w:pPr>
        <w:pStyle w:val="24"/>
        <w:spacing w:line="360" w:lineRule="auto"/>
        <w:ind w:left="899" w:leftChars="428" w:firstLine="1"/>
        <w:rPr>
          <w:rFonts w:ascii="仿宋_GB2312" w:eastAsia="仿宋_GB2312"/>
          <w:sz w:val="24"/>
        </w:rPr>
      </w:pPr>
      <w:r>
        <w:rPr>
          <w:rFonts w:ascii="仿宋_GB2312" w:eastAsia="仿宋_GB2312"/>
          <w:sz w:val="24"/>
        </w:rPr>
        <w:t>历年相对平均湿度： 79%</w:t>
      </w:r>
    </w:p>
    <w:p>
      <w:pPr>
        <w:pStyle w:val="24"/>
        <w:spacing w:afterLines="100" w:line="360" w:lineRule="auto"/>
        <w:ind w:left="899" w:leftChars="428"/>
        <w:rPr>
          <w:rFonts w:ascii="仿宋_GB2312" w:eastAsia="仿宋_GB2312"/>
          <w:sz w:val="24"/>
        </w:rPr>
      </w:pPr>
      <w:r>
        <w:rPr>
          <w:rFonts w:ascii="仿宋_GB2312" w:eastAsia="仿宋_GB2312"/>
          <w:sz w:val="24"/>
        </w:rPr>
        <w:t xml:space="preserve">最小平均湿度：  </w:t>
      </w:r>
      <w:r>
        <w:rPr>
          <w:rFonts w:hint="eastAsia" w:ascii="仿宋_GB2312" w:eastAsia="仿宋_GB2312"/>
          <w:sz w:val="24"/>
        </w:rPr>
        <w:t xml:space="preserve"> </w:t>
      </w:r>
      <w:r>
        <w:rPr>
          <w:rFonts w:ascii="仿宋_GB2312" w:eastAsia="仿宋_GB2312"/>
          <w:sz w:val="24"/>
        </w:rPr>
        <w:t xml:space="preserve">  14%</w:t>
      </w:r>
      <w:bookmarkStart w:id="40" w:name="_Hlt166502088"/>
      <w:bookmarkEnd w:id="40"/>
      <w:bookmarkStart w:id="41" w:name="_Toc164677705"/>
      <w:bookmarkStart w:id="42" w:name="_Toc166549676"/>
    </w:p>
    <w:p>
      <w:pPr>
        <w:pStyle w:val="24"/>
        <w:spacing w:afterLines="100"/>
        <w:ind w:left="899" w:leftChars="428"/>
        <w:jc w:val="center"/>
        <w:rPr>
          <w:rFonts w:ascii="黑体" w:eastAsia="黑体"/>
          <w:sz w:val="32"/>
          <w:szCs w:val="32"/>
        </w:rPr>
      </w:pPr>
      <w:r>
        <w:rPr>
          <w:rFonts w:hint="eastAsia" w:ascii="黑体" w:eastAsia="黑体"/>
          <w:sz w:val="32"/>
          <w:szCs w:val="32"/>
        </w:rPr>
        <w:t>二、工程技术要求</w:t>
      </w:r>
      <w:bookmarkEnd w:id="41"/>
      <w:bookmarkEnd w:id="42"/>
    </w:p>
    <w:p>
      <w:pPr>
        <w:autoSpaceDN w:val="0"/>
        <w:snapToGrid w:val="0"/>
        <w:spacing w:line="312" w:lineRule="auto"/>
        <w:ind w:left="357" w:hanging="357"/>
        <w:rPr>
          <w:b/>
          <w:sz w:val="28"/>
          <w:szCs w:val="28"/>
        </w:rPr>
      </w:pPr>
      <w:r>
        <w:rPr>
          <w:rFonts w:hint="eastAsia"/>
          <w:b/>
          <w:sz w:val="28"/>
          <w:szCs w:val="28"/>
          <w:lang w:val="en-US" w:eastAsia="zh-CN"/>
        </w:rPr>
        <w:t>1</w:t>
      </w:r>
      <w:r>
        <w:rPr>
          <w:b/>
          <w:sz w:val="28"/>
          <w:szCs w:val="28"/>
        </w:rPr>
        <w:t>. 项目背景</w:t>
      </w:r>
    </w:p>
    <w:p>
      <w:pPr>
        <w:autoSpaceDN w:val="0"/>
        <w:snapToGrid w:val="0"/>
        <w:spacing w:line="312" w:lineRule="auto"/>
        <w:ind w:left="357" w:hanging="357"/>
        <w:rPr>
          <w:rFonts w:hint="eastAsia" w:ascii="仿宋_GB2312" w:hAnsi="仿宋_GB2312" w:eastAsia="仿宋_GB2312"/>
          <w:bCs/>
          <w:sz w:val="24"/>
          <w:lang w:eastAsia="zh-CN"/>
        </w:rPr>
      </w:pPr>
      <w:r>
        <w:rPr>
          <w:rFonts w:hint="eastAsia" w:ascii="仿宋_GB2312" w:hAnsi="仿宋_GB2312" w:eastAsia="仿宋_GB2312"/>
          <w:bCs/>
          <w:sz w:val="24"/>
          <w:lang w:val="en-US" w:eastAsia="zh-CN"/>
        </w:rPr>
        <w:t xml:space="preserve">    </w:t>
      </w:r>
      <w:r>
        <w:rPr>
          <w:rFonts w:hint="eastAsia" w:ascii="仿宋_GB2312" w:hAnsi="仿宋_GB2312" w:eastAsia="仿宋_GB2312"/>
          <w:bCs/>
          <w:sz w:val="24"/>
          <w:lang w:eastAsia="zh-CN"/>
        </w:rPr>
        <w:t>提高能源综合利用，建设自备发电厂，提高企业自用发电率。</w:t>
      </w:r>
    </w:p>
    <w:p>
      <w:pPr>
        <w:numPr>
          <w:ilvl w:val="0"/>
          <w:numId w:val="4"/>
        </w:numPr>
        <w:autoSpaceDN w:val="0"/>
        <w:snapToGrid w:val="0"/>
        <w:spacing w:line="312" w:lineRule="auto"/>
        <w:ind w:leftChars="0"/>
        <w:rPr>
          <w:rFonts w:hint="eastAsia"/>
          <w:b/>
          <w:sz w:val="28"/>
          <w:szCs w:val="28"/>
          <w:lang w:val="en-US" w:eastAsia="zh-CN"/>
        </w:rPr>
      </w:pPr>
      <w:r>
        <w:rPr>
          <w:rFonts w:hint="eastAsia"/>
          <w:b/>
          <w:sz w:val="28"/>
          <w:szCs w:val="28"/>
          <w:lang w:eastAsia="zh-CN"/>
        </w:rPr>
        <w:t>设计要求</w:t>
      </w:r>
      <w:r>
        <w:rPr>
          <w:rFonts w:hint="eastAsia"/>
          <w:b/>
          <w:sz w:val="28"/>
          <w:szCs w:val="28"/>
          <w:lang w:val="en-US" w:eastAsia="zh-CN"/>
        </w:rPr>
        <w:t xml:space="preserve">    </w:t>
      </w:r>
    </w:p>
    <w:p>
      <w:pPr>
        <w:numPr>
          <w:numId w:val="0"/>
        </w:numPr>
        <w:autoSpaceDN w:val="0"/>
        <w:snapToGrid w:val="0"/>
        <w:spacing w:line="312" w:lineRule="auto"/>
        <w:rPr>
          <w:b/>
          <w:sz w:val="28"/>
          <w:szCs w:val="28"/>
        </w:rPr>
      </w:pPr>
      <w:r>
        <w:rPr>
          <w:rFonts w:hint="eastAsia" w:ascii="仿宋_GB2312" w:hAnsi="仿宋_GB2312" w:eastAsia="仿宋_GB2312"/>
          <w:bCs/>
          <w:sz w:val="24"/>
          <w:lang w:val="en-US" w:eastAsia="zh-CN"/>
        </w:rPr>
        <w:t xml:space="preserve">    根据现有变电站情况，针对新增65MW机组接入进行设计及配合相应评审工作。</w:t>
      </w:r>
    </w:p>
    <w:p>
      <w:pPr>
        <w:autoSpaceDN w:val="0"/>
        <w:snapToGrid w:val="0"/>
        <w:spacing w:line="312" w:lineRule="auto"/>
        <w:ind w:left="357" w:hanging="357"/>
        <w:rPr>
          <w:b/>
          <w:sz w:val="28"/>
          <w:szCs w:val="28"/>
        </w:rPr>
      </w:pPr>
      <w:r>
        <w:rPr>
          <w:rFonts w:hint="eastAsia"/>
          <w:b/>
          <w:sz w:val="28"/>
          <w:szCs w:val="28"/>
          <w:lang w:val="en-US" w:eastAsia="zh-CN"/>
        </w:rPr>
        <w:t>3</w:t>
      </w:r>
      <w:r>
        <w:rPr>
          <w:b/>
          <w:sz w:val="28"/>
          <w:szCs w:val="28"/>
        </w:rPr>
        <w:t>. 设计范围和设计内容</w:t>
      </w:r>
    </w:p>
    <w:p>
      <w:pPr>
        <w:autoSpaceDN w:val="0"/>
        <w:ind w:firstLine="480"/>
        <w:rPr>
          <w:rFonts w:hAnsi="宋体"/>
          <w:bCs/>
        </w:rPr>
      </w:pPr>
      <w:r>
        <w:rPr>
          <w:rFonts w:ascii="仿宋_GB2312" w:hAnsi="仿宋_GB2312" w:eastAsia="仿宋_GB2312"/>
          <w:bCs/>
          <w:sz w:val="24"/>
        </w:rPr>
        <w:t>工程设计包括</w:t>
      </w:r>
      <w:r>
        <w:rPr>
          <w:rFonts w:hint="eastAsia" w:ascii="仿宋_GB2312" w:hAnsi="仿宋_GB2312" w:eastAsia="仿宋_GB2312"/>
          <w:bCs/>
          <w:sz w:val="24"/>
          <w:lang w:eastAsia="zh-CN"/>
        </w:rPr>
        <w:t>评审资料</w:t>
      </w:r>
      <w:r>
        <w:rPr>
          <w:rFonts w:ascii="仿宋_GB2312" w:hAnsi="仿宋_GB2312" w:eastAsia="仿宋_GB2312"/>
          <w:bCs/>
          <w:sz w:val="24"/>
        </w:rPr>
        <w:t>设计、</w:t>
      </w:r>
      <w:r>
        <w:rPr>
          <w:rFonts w:hint="eastAsia" w:ascii="仿宋_GB2312" w:hAnsi="仿宋_GB2312" w:eastAsia="仿宋_GB2312"/>
          <w:bCs/>
          <w:sz w:val="24"/>
          <w:lang w:eastAsia="zh-CN"/>
        </w:rPr>
        <w:t>评审会议参与、系统详细</w:t>
      </w:r>
      <w:r>
        <w:rPr>
          <w:rFonts w:ascii="仿宋_GB2312" w:hAnsi="仿宋_GB2312" w:eastAsia="仿宋_GB2312"/>
          <w:bCs/>
          <w:sz w:val="24"/>
        </w:rPr>
        <w:t>设计</w:t>
      </w:r>
      <w:r>
        <w:rPr>
          <w:rFonts w:hint="eastAsia" w:ascii="仿宋_GB2312" w:hAnsi="仿宋_GB2312" w:eastAsia="仿宋_GB2312"/>
          <w:bCs/>
          <w:sz w:val="24"/>
        </w:rPr>
        <w:t>。</w:t>
      </w:r>
    </w:p>
    <w:p>
      <w:pPr>
        <w:autoSpaceDN w:val="0"/>
        <w:snapToGrid w:val="0"/>
        <w:spacing w:line="312" w:lineRule="auto"/>
        <w:ind w:left="357" w:hanging="357"/>
        <w:rPr>
          <w:b/>
          <w:sz w:val="28"/>
          <w:szCs w:val="28"/>
        </w:rPr>
      </w:pPr>
      <w:r>
        <w:rPr>
          <w:rFonts w:hint="eastAsia"/>
          <w:b/>
          <w:sz w:val="28"/>
          <w:szCs w:val="28"/>
          <w:lang w:val="en-US" w:eastAsia="zh-CN"/>
        </w:rPr>
        <w:t>4</w:t>
      </w:r>
      <w:r>
        <w:rPr>
          <w:b/>
          <w:sz w:val="28"/>
          <w:szCs w:val="28"/>
        </w:rPr>
        <w:t>. 主要设计分界点：</w:t>
      </w:r>
    </w:p>
    <w:p>
      <w:pPr>
        <w:numPr>
          <w:numId w:val="0"/>
        </w:numPr>
        <w:autoSpaceDN w:val="0"/>
        <w:snapToGrid w:val="0"/>
        <w:spacing w:line="360" w:lineRule="auto"/>
        <w:rPr>
          <w:rFonts w:ascii="仿宋_GB2312" w:hAnsi="仿宋_GB2312" w:eastAsia="仿宋_GB2312"/>
          <w:bCs/>
          <w:sz w:val="24"/>
        </w:rPr>
      </w:pPr>
      <w:r>
        <w:rPr>
          <w:rFonts w:hint="eastAsia" w:ascii="仿宋_GB2312" w:hAnsi="仿宋_GB2312" w:eastAsia="仿宋_GB2312"/>
          <w:bCs/>
          <w:sz w:val="24"/>
          <w:lang w:val="en-US" w:eastAsia="zh-CN"/>
        </w:rPr>
        <w:t xml:space="preserve">    </w:t>
      </w:r>
      <w:r>
        <w:rPr>
          <w:rFonts w:hint="eastAsia" w:ascii="仿宋_GB2312" w:hAnsi="仿宋_GB2312" w:eastAsia="仿宋_GB2312"/>
          <w:bCs/>
          <w:sz w:val="24"/>
          <w:lang w:eastAsia="zh-CN"/>
        </w:rPr>
        <w:t>以变电站断路器接入柜下端为界，下端以外由发电厂设计送线。</w:t>
      </w:r>
    </w:p>
    <w:p>
      <w:pPr>
        <w:autoSpaceDN w:val="0"/>
        <w:snapToGrid w:val="0"/>
        <w:spacing w:line="312" w:lineRule="auto"/>
        <w:ind w:left="357" w:hanging="357"/>
        <w:rPr>
          <w:b/>
          <w:sz w:val="28"/>
          <w:szCs w:val="28"/>
        </w:rPr>
      </w:pPr>
      <w:r>
        <w:rPr>
          <w:rFonts w:hint="eastAsia"/>
          <w:b/>
          <w:sz w:val="28"/>
          <w:szCs w:val="28"/>
          <w:lang w:val="en-US" w:eastAsia="zh-CN"/>
        </w:rPr>
        <w:t>5</w:t>
      </w:r>
      <w:r>
        <w:rPr>
          <w:b/>
          <w:sz w:val="28"/>
          <w:szCs w:val="28"/>
        </w:rPr>
        <w:t>. 设计进度</w:t>
      </w:r>
    </w:p>
    <w:p>
      <w:pPr>
        <w:autoSpaceDN w:val="0"/>
        <w:spacing w:line="520" w:lineRule="atLeast"/>
        <w:ind w:firstLine="480"/>
        <w:rPr>
          <w:rFonts w:ascii="Arial" w:hAnsi="宋体"/>
          <w:bCs/>
          <w:sz w:val="28"/>
        </w:rPr>
      </w:pPr>
      <w:r>
        <w:rPr>
          <w:rFonts w:ascii="仿宋_GB2312" w:hAnsi="仿宋_GB2312" w:eastAsia="仿宋_GB2312"/>
          <w:bCs/>
          <w:sz w:val="24"/>
        </w:rPr>
        <w:t>总体设计进度按2016年</w:t>
      </w:r>
      <w:r>
        <w:rPr>
          <w:rFonts w:hint="eastAsia" w:ascii="仿宋_GB2312" w:hAnsi="仿宋_GB2312" w:eastAsia="仿宋_GB2312"/>
          <w:bCs/>
          <w:sz w:val="24"/>
          <w:lang w:val="en-US" w:eastAsia="zh-CN"/>
        </w:rPr>
        <w:t>10</w:t>
      </w:r>
      <w:r>
        <w:rPr>
          <w:rFonts w:ascii="仿宋_GB2312" w:hAnsi="仿宋_GB2312" w:eastAsia="仿宋_GB2312"/>
          <w:bCs/>
          <w:sz w:val="24"/>
        </w:rPr>
        <w:t>月30日前热试编排。</w:t>
      </w:r>
    </w:p>
    <w:p>
      <w:pPr>
        <w:autoSpaceDN w:val="0"/>
        <w:snapToGrid w:val="0"/>
        <w:spacing w:line="312" w:lineRule="auto"/>
        <w:ind w:left="357" w:hanging="357"/>
        <w:rPr>
          <w:b/>
          <w:sz w:val="28"/>
          <w:szCs w:val="28"/>
        </w:rPr>
      </w:pPr>
      <w:r>
        <w:rPr>
          <w:rFonts w:hint="eastAsia"/>
          <w:b/>
          <w:sz w:val="28"/>
          <w:szCs w:val="28"/>
          <w:lang w:val="en-US" w:eastAsia="zh-CN"/>
        </w:rPr>
        <w:t>6</w:t>
      </w:r>
      <w:r>
        <w:rPr>
          <w:b/>
          <w:sz w:val="28"/>
          <w:szCs w:val="28"/>
        </w:rPr>
        <w:t>. 设计联络</w:t>
      </w:r>
    </w:p>
    <w:p>
      <w:pPr>
        <w:autoSpaceDN w:val="0"/>
        <w:snapToGrid w:val="0"/>
        <w:spacing w:line="312" w:lineRule="auto"/>
        <w:ind w:left="567" w:hanging="567"/>
        <w:rPr>
          <w:rFonts w:ascii="Arial" w:hAnsi="宋体"/>
          <w:bCs/>
          <w:sz w:val="28"/>
        </w:rPr>
      </w:pPr>
      <w:r>
        <w:rPr>
          <w:rFonts w:hint="eastAsia"/>
          <w:bCs/>
          <w:sz w:val="28"/>
          <w:lang w:val="en-US" w:eastAsia="zh-CN"/>
        </w:rPr>
        <w:t>6</w:t>
      </w:r>
      <w:r>
        <w:rPr>
          <w:bCs/>
          <w:sz w:val="28"/>
        </w:rPr>
        <w:t>.1</w:t>
      </w:r>
      <w:r>
        <w:rPr>
          <w:rFonts w:ascii="Arial" w:hAnsi="宋体"/>
          <w:bCs/>
          <w:sz w:val="28"/>
        </w:rPr>
        <w:t xml:space="preserve"> </w:t>
      </w:r>
      <w:r>
        <w:rPr>
          <w:rFonts w:ascii="仿宋_GB2312" w:hAnsi="仿宋_GB2312" w:eastAsia="仿宋_GB2312"/>
          <w:bCs/>
          <w:sz w:val="24"/>
        </w:rPr>
        <w:t>设计联络</w:t>
      </w:r>
    </w:p>
    <w:p>
      <w:pPr>
        <w:autoSpaceDN w:val="0"/>
        <w:spacing w:line="360" w:lineRule="auto"/>
        <w:ind w:firstLine="480"/>
        <w:rPr>
          <w:rFonts w:ascii="Arial" w:hAnsi="宋体"/>
          <w:bCs/>
          <w:sz w:val="28"/>
        </w:rPr>
      </w:pPr>
      <w:r>
        <w:rPr>
          <w:rFonts w:ascii="仿宋_GB2312" w:hAnsi="仿宋_GB2312" w:eastAsia="仿宋_GB2312"/>
          <w:bCs/>
          <w:sz w:val="24"/>
        </w:rPr>
        <w:t>设计方设计联络人为该项目的总设计师，总设计师被授权负责与业主方项目部对口联络。设计联络采用会议（会议纪要）或以书面的形式进行。业主方具体设计联络人将在合同中明确。双方设计联络文件经联络人签字后视为有效。</w:t>
      </w:r>
    </w:p>
    <w:p>
      <w:pPr>
        <w:autoSpaceDN w:val="0"/>
        <w:spacing w:line="360" w:lineRule="auto"/>
        <w:ind w:firstLine="480"/>
        <w:rPr>
          <w:rFonts w:ascii="Arial" w:hAnsi="宋体"/>
          <w:bCs/>
          <w:sz w:val="28"/>
        </w:rPr>
      </w:pPr>
      <w:r>
        <w:rPr>
          <w:rFonts w:ascii="仿宋_GB2312" w:hAnsi="仿宋_GB2312" w:eastAsia="仿宋_GB2312"/>
          <w:bCs/>
          <w:sz w:val="24"/>
        </w:rPr>
        <w:t>设计联络分初步设计联络、详细设计联络和日常工作期间的设计联络。设计方作出初步设计后提交业主方审查，经双方详细讨论并确定后方可进行下一步的详细设计工作，在日常工作中双方如有疑问可及时进行设计联络，如有设计变更以双方签字为准。</w:t>
      </w:r>
    </w:p>
    <w:p>
      <w:pPr>
        <w:autoSpaceDN w:val="0"/>
        <w:snapToGrid w:val="0"/>
        <w:spacing w:line="312" w:lineRule="auto"/>
        <w:ind w:left="567" w:hanging="567"/>
        <w:rPr>
          <w:rFonts w:ascii="Arial" w:hAnsi="宋体"/>
          <w:bCs/>
          <w:sz w:val="28"/>
        </w:rPr>
      </w:pPr>
      <w:r>
        <w:rPr>
          <w:rFonts w:hint="eastAsia"/>
          <w:bCs/>
          <w:sz w:val="28"/>
          <w:lang w:val="en-US" w:eastAsia="zh-CN"/>
        </w:rPr>
        <w:t>6</w:t>
      </w:r>
      <w:r>
        <w:rPr>
          <w:bCs/>
          <w:sz w:val="28"/>
        </w:rPr>
        <w:t>.</w:t>
      </w:r>
      <w:r>
        <w:rPr>
          <w:rFonts w:hint="eastAsia"/>
          <w:bCs/>
          <w:sz w:val="28"/>
          <w:lang w:val="en-US" w:eastAsia="zh-CN"/>
        </w:rPr>
        <w:t>2</w:t>
      </w:r>
      <w:r>
        <w:rPr>
          <w:rFonts w:ascii="Arial" w:hAnsi="宋体"/>
          <w:bCs/>
          <w:sz w:val="28"/>
        </w:rPr>
        <w:t xml:space="preserve"> </w:t>
      </w:r>
      <w:r>
        <w:rPr>
          <w:rFonts w:ascii="仿宋_GB2312" w:hAnsi="仿宋_GB2312" w:eastAsia="仿宋_GB2312"/>
          <w:bCs/>
          <w:sz w:val="24"/>
        </w:rPr>
        <w:t>设计方案修改审查</w:t>
      </w:r>
    </w:p>
    <w:p>
      <w:pPr>
        <w:autoSpaceDN w:val="0"/>
        <w:spacing w:line="360" w:lineRule="auto"/>
        <w:ind w:firstLine="480"/>
        <w:rPr>
          <w:rFonts w:ascii="Arial" w:hAnsi="宋体"/>
          <w:bCs/>
          <w:sz w:val="28"/>
        </w:rPr>
      </w:pPr>
      <w:r>
        <w:rPr>
          <w:rFonts w:ascii="仿宋_GB2312" w:hAnsi="仿宋_GB2312" w:eastAsia="仿宋_GB2312"/>
          <w:bCs/>
          <w:sz w:val="24"/>
        </w:rPr>
        <w:t>合同生效后，设计方按照合同约定的时限提供给业主方有关的设计方案修改文件。业主方在收到设计方提供的设计方案修改文件后尽快组织人员依据合同和约定标准规范对设计文件进行审查，并签署审查纪要，设计方将根据纪要修改完善。</w:t>
      </w:r>
    </w:p>
    <w:p>
      <w:pPr>
        <w:autoSpaceDN w:val="0"/>
        <w:snapToGrid w:val="0"/>
        <w:spacing w:line="312" w:lineRule="auto"/>
        <w:ind w:left="567" w:hanging="567"/>
        <w:rPr>
          <w:rFonts w:ascii="Arial" w:hAnsi="宋体"/>
          <w:bCs/>
          <w:sz w:val="28"/>
        </w:rPr>
      </w:pPr>
      <w:r>
        <w:rPr>
          <w:rFonts w:hint="eastAsia"/>
          <w:bCs/>
          <w:sz w:val="28"/>
          <w:lang w:val="en-US" w:eastAsia="zh-CN"/>
        </w:rPr>
        <w:t>6.3</w:t>
      </w:r>
      <w:r>
        <w:rPr>
          <w:bCs/>
          <w:sz w:val="28"/>
        </w:rPr>
        <w:t xml:space="preserve"> </w:t>
      </w:r>
      <w:r>
        <w:rPr>
          <w:rFonts w:ascii="仿宋_GB2312" w:hAnsi="仿宋_GB2312" w:eastAsia="仿宋_GB2312"/>
          <w:bCs/>
          <w:sz w:val="24"/>
        </w:rPr>
        <w:t>设计变更</w:t>
      </w:r>
    </w:p>
    <w:p>
      <w:pPr>
        <w:autoSpaceDN w:val="0"/>
        <w:spacing w:line="360" w:lineRule="auto"/>
        <w:ind w:firstLine="480"/>
        <w:rPr>
          <w:rFonts w:ascii="Arial" w:hAnsi="宋体"/>
          <w:bCs/>
          <w:sz w:val="28"/>
        </w:rPr>
      </w:pPr>
      <w:r>
        <w:rPr>
          <w:rFonts w:ascii="仿宋_GB2312" w:hAnsi="仿宋_GB2312" w:eastAsia="仿宋_GB2312"/>
          <w:bCs/>
          <w:sz w:val="24"/>
        </w:rPr>
        <w:t>应业主方书面认可或书面要求（或同意）修改项目任务范围或内容（包括项目设计基础数据的修改），设计方应积极响应，设计方设计经理批准后，根据业主方要求组织设计变更，并办理变更的确认手续。</w:t>
      </w:r>
    </w:p>
    <w:p>
      <w:pPr>
        <w:autoSpaceDN w:val="0"/>
        <w:snapToGrid w:val="0"/>
        <w:spacing w:line="312" w:lineRule="auto"/>
        <w:ind w:left="567" w:hanging="567"/>
        <w:rPr>
          <w:rFonts w:ascii="Arial" w:hAnsi="宋体"/>
          <w:bCs/>
          <w:sz w:val="28"/>
        </w:rPr>
      </w:pPr>
      <w:r>
        <w:rPr>
          <w:rFonts w:hint="eastAsia"/>
          <w:bCs/>
          <w:sz w:val="28"/>
          <w:lang w:val="en-US" w:eastAsia="zh-CN"/>
        </w:rPr>
        <w:t>6.4</w:t>
      </w:r>
      <w:r>
        <w:rPr>
          <w:bCs/>
          <w:sz w:val="28"/>
        </w:rPr>
        <w:t xml:space="preserve"> </w:t>
      </w:r>
      <w:r>
        <w:rPr>
          <w:rFonts w:ascii="仿宋_GB2312" w:hAnsi="仿宋_GB2312" w:eastAsia="仿宋_GB2312"/>
          <w:bCs/>
          <w:sz w:val="24"/>
        </w:rPr>
        <w:t>资料交付</w:t>
      </w:r>
    </w:p>
    <w:p>
      <w:pPr>
        <w:autoSpaceDN w:val="0"/>
        <w:spacing w:line="360" w:lineRule="auto"/>
        <w:ind w:firstLine="480"/>
        <w:rPr>
          <w:rFonts w:ascii="Arial" w:hAnsi="宋体"/>
          <w:bCs/>
          <w:sz w:val="28"/>
        </w:rPr>
      </w:pPr>
      <w:r>
        <w:rPr>
          <w:rFonts w:ascii="仿宋_GB2312" w:hAnsi="仿宋_GB2312" w:eastAsia="仿宋_GB2312"/>
          <w:bCs/>
          <w:sz w:val="24"/>
        </w:rPr>
        <w:t>初步设计及专篇各15份。其他设计方向业主提供的文字资料为15份，电子版1份。图纸纸质签字版一式15份，详细设计图纸部分还应提供一套完整的可编辑CAD图。</w:t>
      </w:r>
    </w:p>
    <w:p>
      <w:pPr>
        <w:autoSpaceDN w:val="0"/>
        <w:snapToGrid w:val="0"/>
        <w:spacing w:line="312" w:lineRule="auto"/>
        <w:ind w:left="357" w:hanging="357"/>
        <w:rPr>
          <w:b/>
          <w:sz w:val="28"/>
          <w:szCs w:val="28"/>
        </w:rPr>
      </w:pPr>
      <w:r>
        <w:rPr>
          <w:rFonts w:hint="eastAsia"/>
          <w:b/>
          <w:sz w:val="28"/>
          <w:szCs w:val="28"/>
          <w:lang w:val="en-US" w:eastAsia="zh-CN"/>
        </w:rPr>
        <w:t>7.</w:t>
      </w:r>
      <w:r>
        <w:rPr>
          <w:b/>
          <w:sz w:val="28"/>
          <w:szCs w:val="28"/>
        </w:rPr>
        <w:t xml:space="preserve"> 技术服务</w:t>
      </w:r>
    </w:p>
    <w:p>
      <w:pPr>
        <w:autoSpaceDN w:val="0"/>
        <w:snapToGrid w:val="0"/>
        <w:spacing w:line="312" w:lineRule="auto"/>
        <w:ind w:left="567" w:hanging="567"/>
        <w:rPr>
          <w:rFonts w:ascii="Arial" w:hAnsi="宋体"/>
          <w:bCs/>
          <w:sz w:val="28"/>
        </w:rPr>
      </w:pPr>
      <w:r>
        <w:rPr>
          <w:rFonts w:hint="eastAsia"/>
          <w:bCs/>
          <w:sz w:val="28"/>
          <w:lang w:val="en-US" w:eastAsia="zh-CN"/>
        </w:rPr>
        <w:t>7</w:t>
      </w:r>
      <w:r>
        <w:rPr>
          <w:bCs/>
          <w:sz w:val="28"/>
        </w:rPr>
        <w:t>.1</w:t>
      </w:r>
      <w:r>
        <w:rPr>
          <w:rFonts w:ascii="Arial" w:hAnsi="宋体"/>
          <w:bCs/>
          <w:sz w:val="28"/>
        </w:rPr>
        <w:t xml:space="preserve"> </w:t>
      </w:r>
      <w:r>
        <w:rPr>
          <w:rFonts w:ascii="仿宋_GB2312" w:hAnsi="仿宋_GB2312" w:eastAsia="仿宋_GB2312"/>
          <w:bCs/>
          <w:sz w:val="24"/>
        </w:rPr>
        <w:t xml:space="preserve"> 技术服务内容、范围</w:t>
      </w:r>
    </w:p>
    <w:p>
      <w:pPr>
        <w:autoSpaceDN w:val="0"/>
        <w:spacing w:line="360" w:lineRule="auto"/>
        <w:ind w:firstLine="480"/>
        <w:rPr>
          <w:rFonts w:ascii="Arial" w:hAnsi="宋体"/>
          <w:bCs/>
          <w:sz w:val="28"/>
        </w:rPr>
      </w:pPr>
      <w:r>
        <w:rPr>
          <w:rFonts w:ascii="仿宋_GB2312" w:hAnsi="仿宋_GB2312" w:eastAsia="仿宋_GB2312"/>
          <w:bCs/>
          <w:sz w:val="24"/>
        </w:rPr>
        <w:t>该项目采用工程设计的方式委托设计方设计，在工程建设中，设计方指派技术人员对业主和各分包商提供技术服务，技术服务内容包括以下几个方面：</w:t>
      </w:r>
    </w:p>
    <w:p>
      <w:pPr>
        <w:autoSpaceDN w:val="0"/>
        <w:snapToGrid w:val="0"/>
        <w:spacing w:line="360" w:lineRule="auto"/>
        <w:ind w:left="840" w:hanging="420"/>
        <w:rPr>
          <w:rFonts w:hAnsi="宋体"/>
          <w:bCs/>
        </w:rPr>
      </w:pPr>
      <w:r>
        <w:rPr>
          <w:rFonts w:ascii="Wingdings" w:hAnsi="Wingdings"/>
          <w:bCs/>
          <w:sz w:val="24"/>
        </w:rPr>
        <w:t></w:t>
      </w:r>
      <w:r>
        <w:rPr>
          <w:rFonts w:ascii="仿宋_GB2312" w:hAnsi="仿宋_GB2312" w:eastAsia="仿宋_GB2312"/>
          <w:bCs/>
          <w:sz w:val="24"/>
        </w:rPr>
        <w:t>向业主提供工程技术文件的解释、说明。</w:t>
      </w:r>
    </w:p>
    <w:p>
      <w:pPr>
        <w:autoSpaceDN w:val="0"/>
        <w:snapToGrid w:val="0"/>
        <w:spacing w:line="360" w:lineRule="auto"/>
        <w:ind w:left="840" w:hanging="420"/>
        <w:rPr>
          <w:rFonts w:hAnsi="宋体"/>
          <w:bCs/>
        </w:rPr>
      </w:pPr>
      <w:r>
        <w:rPr>
          <w:rFonts w:ascii="Wingdings" w:hAnsi="Wingdings"/>
          <w:bCs/>
          <w:sz w:val="24"/>
        </w:rPr>
        <w:t></w:t>
      </w:r>
      <w:r>
        <w:rPr>
          <w:rFonts w:ascii="仿宋_GB2312" w:hAnsi="仿宋_GB2312" w:eastAsia="仿宋_GB2312"/>
          <w:bCs/>
          <w:sz w:val="24"/>
        </w:rPr>
        <w:t>尽量向业主提供与工程类似生产厂的生产操作成功经验，供业主在工程竣工后在生产中作参考。</w:t>
      </w:r>
    </w:p>
    <w:p>
      <w:pPr>
        <w:autoSpaceDN w:val="0"/>
        <w:snapToGrid w:val="0"/>
        <w:spacing w:line="312" w:lineRule="auto"/>
        <w:ind w:left="567" w:hanging="567"/>
        <w:rPr>
          <w:rFonts w:ascii="Arial" w:hAnsi="宋体"/>
          <w:bCs/>
          <w:sz w:val="28"/>
        </w:rPr>
      </w:pPr>
      <w:r>
        <w:rPr>
          <w:rFonts w:hint="eastAsia"/>
          <w:bCs/>
          <w:sz w:val="28"/>
          <w:lang w:val="en-US" w:eastAsia="zh-CN"/>
        </w:rPr>
        <w:t>7</w:t>
      </w:r>
      <w:r>
        <w:rPr>
          <w:bCs/>
          <w:sz w:val="28"/>
        </w:rPr>
        <w:t>.2</w:t>
      </w:r>
      <w:r>
        <w:rPr>
          <w:rFonts w:ascii="Arial" w:hAnsi="宋体"/>
          <w:bCs/>
          <w:sz w:val="28"/>
        </w:rPr>
        <w:t xml:space="preserve"> </w:t>
      </w:r>
      <w:r>
        <w:rPr>
          <w:rFonts w:ascii="仿宋_GB2312" w:hAnsi="仿宋_GB2312" w:eastAsia="仿宋_GB2312"/>
          <w:bCs/>
          <w:sz w:val="24"/>
        </w:rPr>
        <w:t xml:space="preserve"> 施工</w:t>
      </w:r>
    </w:p>
    <w:p>
      <w:pPr>
        <w:autoSpaceDN w:val="0"/>
        <w:snapToGrid w:val="0"/>
        <w:spacing w:line="360" w:lineRule="auto"/>
        <w:ind w:left="840" w:hanging="420"/>
        <w:rPr>
          <w:rFonts w:hAnsi="宋体"/>
          <w:bCs/>
        </w:rPr>
      </w:pPr>
      <w:r>
        <w:rPr>
          <w:rFonts w:ascii="Wingdings" w:hAnsi="Wingdings"/>
          <w:bCs/>
          <w:sz w:val="24"/>
        </w:rPr>
        <w:t></w:t>
      </w:r>
      <w:r>
        <w:rPr>
          <w:rFonts w:ascii="仿宋_GB2312" w:hAnsi="仿宋_GB2312" w:eastAsia="仿宋_GB2312"/>
          <w:bCs/>
          <w:sz w:val="24"/>
        </w:rPr>
        <w:t>图纸会审及技术交底</w:t>
      </w:r>
    </w:p>
    <w:p>
      <w:pPr>
        <w:autoSpaceDN w:val="0"/>
        <w:spacing w:line="360" w:lineRule="auto"/>
        <w:ind w:firstLine="480"/>
        <w:rPr>
          <w:rFonts w:ascii="Arial" w:hAnsi="宋体"/>
          <w:bCs/>
          <w:sz w:val="28"/>
        </w:rPr>
      </w:pPr>
      <w:r>
        <w:rPr>
          <w:rFonts w:ascii="仿宋_GB2312" w:hAnsi="仿宋_GB2312" w:eastAsia="仿宋_GB2312"/>
          <w:bCs/>
          <w:sz w:val="24"/>
        </w:rPr>
        <w:t>设计方保证在施工开工前，组织图纸会审和技术交底会议，并派出有关技术人员参加会议，解释说明相关问题，并形成文件记录，将相关记录文件提交业主。</w:t>
      </w:r>
    </w:p>
    <w:p>
      <w:pPr>
        <w:autoSpaceDN w:val="0"/>
        <w:snapToGrid w:val="0"/>
        <w:spacing w:line="360" w:lineRule="auto"/>
        <w:ind w:left="840" w:hanging="420"/>
        <w:rPr>
          <w:rFonts w:hAnsi="宋体"/>
          <w:bCs/>
        </w:rPr>
      </w:pPr>
      <w:r>
        <w:rPr>
          <w:rFonts w:ascii="Wingdings" w:hAnsi="Wingdings"/>
          <w:bCs/>
          <w:sz w:val="24"/>
        </w:rPr>
        <w:t></w:t>
      </w:r>
      <w:r>
        <w:rPr>
          <w:rFonts w:ascii="仿宋_GB2312" w:hAnsi="仿宋_GB2312" w:eastAsia="仿宋_GB2312"/>
          <w:bCs/>
          <w:sz w:val="24"/>
        </w:rPr>
        <w:t>施工服务</w:t>
      </w:r>
    </w:p>
    <w:p>
      <w:pPr>
        <w:autoSpaceDN w:val="0"/>
        <w:spacing w:line="360" w:lineRule="auto"/>
        <w:ind w:firstLine="480"/>
        <w:rPr>
          <w:rFonts w:ascii="Arial" w:hAnsi="宋体"/>
          <w:bCs/>
          <w:sz w:val="28"/>
        </w:rPr>
      </w:pPr>
      <w:r>
        <w:rPr>
          <w:rFonts w:ascii="仿宋_GB2312" w:hAnsi="仿宋_GB2312" w:eastAsia="仿宋_GB2312"/>
          <w:bCs/>
          <w:sz w:val="24"/>
        </w:rPr>
        <w:t>在工程施工及安装调试的全过程中，设计方派出所需专业的技术人员提供现场技术服务，及时解决过程中存在的技术问题。满足工程顺利进行的要求。</w:t>
      </w:r>
    </w:p>
    <w:p>
      <w:pPr>
        <w:autoSpaceDN w:val="0"/>
        <w:ind w:firstLine="435"/>
        <w:rPr>
          <w:rFonts w:hAnsi="宋体"/>
        </w:rPr>
      </w:pPr>
    </w:p>
    <w:p>
      <w:pPr>
        <w:jc w:val="center"/>
        <w:outlineLvl w:val="0"/>
        <w:rPr>
          <w:rFonts w:ascii="黑体" w:eastAsia="黑体"/>
          <w:sz w:val="32"/>
          <w:szCs w:val="32"/>
        </w:rPr>
      </w:pPr>
      <w:r>
        <w:rPr>
          <w:rFonts w:hint="eastAsia" w:ascii="黑体" w:eastAsia="黑体"/>
          <w:sz w:val="32"/>
          <w:szCs w:val="32"/>
        </w:rPr>
        <w:br w:type="page"/>
      </w:r>
      <w:bookmarkStart w:id="43" w:name="_Toc22434"/>
      <w:r>
        <w:rPr>
          <w:rFonts w:hint="eastAsia" w:ascii="黑体" w:eastAsia="黑体"/>
          <w:sz w:val="32"/>
          <w:szCs w:val="32"/>
        </w:rPr>
        <w:t>第</w:t>
      </w:r>
      <w:r>
        <w:rPr>
          <w:rFonts w:hint="eastAsia" w:ascii="黑体" w:eastAsia="黑体"/>
          <w:sz w:val="32"/>
          <w:szCs w:val="32"/>
          <w:lang w:eastAsia="zh-CN"/>
        </w:rPr>
        <w:t>四</w:t>
      </w:r>
      <w:r>
        <w:rPr>
          <w:rFonts w:hint="eastAsia" w:ascii="黑体" w:eastAsia="黑体"/>
          <w:sz w:val="32"/>
          <w:szCs w:val="32"/>
        </w:rPr>
        <w:t>部分   投标文件的组成</w:t>
      </w:r>
      <w:bookmarkEnd w:id="43"/>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附件一 开标一览表（格式见附件一）</w:t>
      </w:r>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附件二 投标单位概况（格式见附件二）</w:t>
      </w:r>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附件四 营业执照副本（复印件）</w:t>
      </w:r>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附件五 资质证书副本（复印件）</w:t>
      </w:r>
    </w:p>
    <w:p>
      <w:pPr>
        <w:tabs>
          <w:tab w:val="left" w:pos="765"/>
        </w:tabs>
        <w:spacing w:line="360" w:lineRule="auto"/>
        <w:ind w:firstLine="480" w:firstLineChars="200"/>
        <w:rPr>
          <w:rFonts w:ascii="仿宋_GB2312" w:eastAsia="仿宋_GB2312"/>
          <w:sz w:val="24"/>
        </w:rPr>
      </w:pPr>
      <w:r>
        <w:rPr>
          <w:rFonts w:hint="eastAsia" w:ascii="仿宋_GB2312" w:eastAsia="仿宋_GB2312"/>
          <w:sz w:val="24"/>
        </w:rPr>
        <w:t>附件六 法定代表人资格证书及身份证复印件（或法定代表人授权委托书及被委托人身份证复印件）</w:t>
      </w:r>
    </w:p>
    <w:p>
      <w:pPr>
        <w:spacing w:line="360" w:lineRule="auto"/>
        <w:rPr>
          <w:rFonts w:ascii="仿宋_GB2312" w:eastAsia="仿宋_GB2312"/>
          <w:sz w:val="24"/>
        </w:rPr>
      </w:pPr>
    </w:p>
    <w:p>
      <w:pPr>
        <w:tabs>
          <w:tab w:val="left" w:pos="765"/>
        </w:tabs>
        <w:ind w:firstLine="480" w:firstLineChars="200"/>
        <w:rPr>
          <w:rFonts w:ascii="仿宋_GB2312" w:eastAsia="仿宋_GB2312"/>
          <w:sz w:val="24"/>
        </w:rPr>
      </w:pPr>
      <w:r>
        <w:rPr>
          <w:rFonts w:hint="eastAsia" w:ascii="仿宋_GB2312" w:eastAsia="仿宋_GB2312"/>
          <w:sz w:val="24"/>
        </w:rPr>
        <w:br w:type="page"/>
      </w:r>
      <w:r>
        <w:rPr>
          <w:rFonts w:hint="eastAsia" w:ascii="仿宋_GB2312" w:eastAsia="仿宋_GB2312"/>
          <w:sz w:val="24"/>
        </w:rPr>
        <w:t xml:space="preserve">附件一      </w:t>
      </w:r>
    </w:p>
    <w:p>
      <w:pPr>
        <w:tabs>
          <w:tab w:val="left" w:pos="765"/>
        </w:tabs>
        <w:jc w:val="center"/>
        <w:rPr>
          <w:rFonts w:ascii="黑体" w:eastAsia="黑体"/>
          <w:b/>
          <w:sz w:val="32"/>
          <w:szCs w:val="32"/>
        </w:rPr>
      </w:pPr>
      <w:r>
        <w:rPr>
          <w:rFonts w:hint="eastAsia" w:ascii="黑体" w:eastAsia="黑体"/>
          <w:b/>
          <w:sz w:val="32"/>
          <w:szCs w:val="32"/>
        </w:rPr>
        <w:t>开标一览表（格式）</w:t>
      </w:r>
    </w:p>
    <w:p>
      <w:pPr>
        <w:tabs>
          <w:tab w:val="left" w:pos="765"/>
        </w:tabs>
        <w:spacing w:line="400" w:lineRule="exact"/>
        <w:ind w:firstLine="480" w:firstLineChars="200"/>
        <w:jc w:val="left"/>
        <w:rPr>
          <w:rFonts w:ascii="仿宋_GB2312" w:eastAsia="仿宋_GB2312"/>
          <w:sz w:val="24"/>
        </w:rPr>
      </w:pPr>
      <w:r>
        <w:rPr>
          <w:rFonts w:hint="eastAsia" w:ascii="仿宋_GB2312" w:eastAsia="仿宋_GB2312"/>
          <w:sz w:val="24"/>
        </w:rPr>
        <w:t>投标人名称：</w:t>
      </w:r>
    </w:p>
    <w:p>
      <w:pPr>
        <w:tabs>
          <w:tab w:val="left" w:pos="765"/>
        </w:tabs>
        <w:spacing w:line="400" w:lineRule="exact"/>
        <w:ind w:firstLine="480" w:firstLineChars="200"/>
        <w:jc w:val="left"/>
        <w:rPr>
          <w:rFonts w:ascii="仿宋_GB2312" w:eastAsia="仿宋_GB2312"/>
          <w:sz w:val="24"/>
        </w:rPr>
      </w:pPr>
      <w:r>
        <w:rPr>
          <w:rFonts w:hint="eastAsia" w:ascii="仿宋_GB2312" w:eastAsia="仿宋_GB2312"/>
          <w:sz w:val="24"/>
        </w:rPr>
        <w:t>招标文件编号：</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22"/>
        <w:gridCol w:w="1739"/>
        <w:gridCol w:w="2087"/>
        <w:gridCol w:w="1739"/>
        <w:gridCol w:w="1044"/>
        <w:gridCol w:w="1391"/>
      </w:tblGrid>
      <w:tr>
        <w:trPr>
          <w:trHeight w:val="613" w:hRule="atLeast"/>
        </w:trPr>
        <w:tc>
          <w:tcPr>
            <w:tcW w:w="522" w:type="dxa"/>
            <w:vAlign w:val="center"/>
          </w:tcPr>
          <w:p>
            <w:pPr>
              <w:tabs>
                <w:tab w:val="left" w:pos="765"/>
              </w:tabs>
              <w:spacing w:line="400" w:lineRule="exact"/>
              <w:jc w:val="left"/>
              <w:rPr>
                <w:rFonts w:ascii="仿宋_GB2312" w:eastAsia="仿宋_GB2312"/>
                <w:sz w:val="24"/>
              </w:rPr>
            </w:pPr>
            <w:r>
              <w:rPr>
                <w:rFonts w:hint="eastAsia" w:ascii="仿宋_GB2312" w:eastAsia="仿宋_GB2312"/>
                <w:sz w:val="24"/>
              </w:rPr>
              <w:t>序号</w:t>
            </w:r>
          </w:p>
        </w:tc>
        <w:tc>
          <w:tcPr>
            <w:tcW w:w="1739" w:type="dxa"/>
            <w:vAlign w:val="center"/>
          </w:tcPr>
          <w:p>
            <w:pPr>
              <w:tabs>
                <w:tab w:val="left" w:pos="765"/>
              </w:tabs>
              <w:spacing w:line="400" w:lineRule="exact"/>
              <w:jc w:val="left"/>
              <w:rPr>
                <w:rFonts w:ascii="仿宋_GB2312" w:eastAsia="仿宋_GB2312"/>
                <w:sz w:val="24"/>
              </w:rPr>
            </w:pPr>
            <w:r>
              <w:rPr>
                <w:rFonts w:hint="eastAsia" w:ascii="仿宋_GB2312" w:eastAsia="仿宋_GB2312"/>
                <w:sz w:val="24"/>
              </w:rPr>
              <w:t>项目名称</w:t>
            </w:r>
          </w:p>
        </w:tc>
        <w:tc>
          <w:tcPr>
            <w:tcW w:w="2087" w:type="dxa"/>
            <w:vAlign w:val="center"/>
          </w:tcPr>
          <w:p>
            <w:pPr>
              <w:tabs>
                <w:tab w:val="left" w:pos="765"/>
              </w:tabs>
              <w:spacing w:line="400" w:lineRule="exact"/>
              <w:jc w:val="left"/>
              <w:rPr>
                <w:rFonts w:ascii="仿宋_GB2312" w:eastAsia="仿宋_GB2312"/>
                <w:sz w:val="24"/>
              </w:rPr>
            </w:pPr>
          </w:p>
        </w:tc>
        <w:tc>
          <w:tcPr>
            <w:tcW w:w="1739" w:type="dxa"/>
            <w:vAlign w:val="center"/>
          </w:tcPr>
          <w:p>
            <w:pPr>
              <w:tabs>
                <w:tab w:val="left" w:pos="765"/>
              </w:tabs>
              <w:spacing w:line="400" w:lineRule="exact"/>
              <w:jc w:val="left"/>
              <w:rPr>
                <w:rFonts w:ascii="仿宋_GB2312" w:eastAsia="仿宋_GB2312"/>
                <w:sz w:val="24"/>
              </w:rPr>
            </w:pPr>
            <w:r>
              <w:rPr>
                <w:rFonts w:hint="eastAsia" w:ascii="仿宋_GB2312" w:eastAsia="仿宋_GB2312"/>
                <w:sz w:val="24"/>
              </w:rPr>
              <w:t>工期（天）</w:t>
            </w:r>
          </w:p>
          <w:p>
            <w:pPr>
              <w:tabs>
                <w:tab w:val="left" w:pos="765"/>
              </w:tabs>
              <w:spacing w:line="400" w:lineRule="exact"/>
              <w:jc w:val="left"/>
              <w:rPr>
                <w:rFonts w:ascii="仿宋_GB2312" w:eastAsia="仿宋_GB2312"/>
                <w:sz w:val="24"/>
              </w:rPr>
            </w:pPr>
            <w:r>
              <w:rPr>
                <w:rFonts w:hint="eastAsia" w:ascii="仿宋_GB2312" w:eastAsia="仿宋_GB2312"/>
                <w:sz w:val="24"/>
              </w:rPr>
              <w:t>（日历日）</w:t>
            </w:r>
          </w:p>
        </w:tc>
        <w:tc>
          <w:tcPr>
            <w:tcW w:w="1044" w:type="dxa"/>
            <w:vAlign w:val="center"/>
          </w:tcPr>
          <w:p>
            <w:pPr>
              <w:tabs>
                <w:tab w:val="left" w:pos="765"/>
              </w:tabs>
              <w:spacing w:line="400" w:lineRule="exact"/>
              <w:jc w:val="left"/>
              <w:rPr>
                <w:rFonts w:ascii="仿宋_GB2312" w:eastAsia="仿宋_GB2312"/>
                <w:sz w:val="24"/>
              </w:rPr>
            </w:pPr>
            <w:r>
              <w:rPr>
                <w:rFonts w:hint="eastAsia" w:ascii="仿宋_GB2312" w:eastAsia="仿宋_GB2312"/>
                <w:sz w:val="24"/>
              </w:rPr>
              <w:t>质量</w:t>
            </w:r>
          </w:p>
          <w:p>
            <w:pPr>
              <w:tabs>
                <w:tab w:val="left" w:pos="765"/>
              </w:tabs>
              <w:spacing w:line="400" w:lineRule="exact"/>
              <w:jc w:val="left"/>
              <w:rPr>
                <w:rFonts w:ascii="仿宋_GB2312" w:eastAsia="仿宋_GB2312"/>
                <w:sz w:val="24"/>
              </w:rPr>
            </w:pPr>
            <w:r>
              <w:rPr>
                <w:rFonts w:hint="eastAsia" w:ascii="仿宋_GB2312" w:eastAsia="仿宋_GB2312"/>
                <w:sz w:val="24"/>
              </w:rPr>
              <w:t>等级</w:t>
            </w:r>
          </w:p>
        </w:tc>
        <w:tc>
          <w:tcPr>
            <w:tcW w:w="1391" w:type="dxa"/>
            <w:vAlign w:val="center"/>
          </w:tcPr>
          <w:p>
            <w:pPr>
              <w:tabs>
                <w:tab w:val="left" w:pos="765"/>
              </w:tabs>
              <w:spacing w:line="400" w:lineRule="exact"/>
              <w:jc w:val="left"/>
              <w:rPr>
                <w:rFonts w:ascii="仿宋_GB2312" w:eastAsia="仿宋_GB2312"/>
                <w:sz w:val="24"/>
              </w:rPr>
            </w:pPr>
            <w:r>
              <w:rPr>
                <w:rFonts w:hint="eastAsia" w:ascii="仿宋_GB2312" w:eastAsia="仿宋_GB2312"/>
                <w:sz w:val="24"/>
              </w:rPr>
              <w:t>保修</w:t>
            </w:r>
          </w:p>
          <w:p>
            <w:pPr>
              <w:tabs>
                <w:tab w:val="left" w:pos="765"/>
              </w:tabs>
              <w:spacing w:line="400" w:lineRule="exact"/>
              <w:jc w:val="left"/>
              <w:rPr>
                <w:rFonts w:ascii="仿宋_GB2312" w:eastAsia="仿宋_GB2312"/>
                <w:sz w:val="24"/>
              </w:rPr>
            </w:pPr>
            <w:r>
              <w:rPr>
                <w:rFonts w:hint="eastAsia" w:ascii="仿宋_GB2312" w:eastAsia="仿宋_GB2312"/>
                <w:sz w:val="24"/>
              </w:rPr>
              <w:t>承诺</w:t>
            </w:r>
          </w:p>
        </w:tc>
      </w:tr>
      <w:tr>
        <w:trPr>
          <w:trHeight w:val="628" w:hRule="atLeast"/>
        </w:trPr>
        <w:tc>
          <w:tcPr>
            <w:tcW w:w="522" w:type="dxa"/>
            <w:vAlign w:val="center"/>
          </w:tcPr>
          <w:p>
            <w:pPr>
              <w:tabs>
                <w:tab w:val="left" w:pos="765"/>
              </w:tabs>
              <w:spacing w:line="400" w:lineRule="exact"/>
              <w:jc w:val="left"/>
              <w:rPr>
                <w:rFonts w:ascii="仿宋_GB2312" w:eastAsia="仿宋_GB2312"/>
                <w:sz w:val="24"/>
              </w:rPr>
            </w:pPr>
          </w:p>
        </w:tc>
        <w:tc>
          <w:tcPr>
            <w:tcW w:w="1739" w:type="dxa"/>
            <w:vAlign w:val="center"/>
          </w:tcPr>
          <w:p>
            <w:pPr>
              <w:tabs>
                <w:tab w:val="left" w:pos="765"/>
              </w:tabs>
              <w:spacing w:line="400" w:lineRule="exact"/>
              <w:jc w:val="left"/>
              <w:rPr>
                <w:rFonts w:ascii="仿宋_GB2312" w:eastAsia="仿宋_GB2312"/>
                <w:sz w:val="24"/>
              </w:rPr>
            </w:pPr>
          </w:p>
        </w:tc>
        <w:tc>
          <w:tcPr>
            <w:tcW w:w="2087" w:type="dxa"/>
            <w:vAlign w:val="center"/>
          </w:tcPr>
          <w:p>
            <w:pPr>
              <w:tabs>
                <w:tab w:val="left" w:pos="765"/>
              </w:tabs>
              <w:spacing w:line="400" w:lineRule="exact"/>
              <w:jc w:val="left"/>
              <w:rPr>
                <w:rFonts w:ascii="仿宋_GB2312" w:eastAsia="仿宋_GB2312"/>
                <w:sz w:val="24"/>
              </w:rPr>
            </w:pPr>
          </w:p>
        </w:tc>
        <w:tc>
          <w:tcPr>
            <w:tcW w:w="1739" w:type="dxa"/>
            <w:vAlign w:val="center"/>
          </w:tcPr>
          <w:p>
            <w:pPr>
              <w:tabs>
                <w:tab w:val="left" w:pos="765"/>
              </w:tabs>
              <w:spacing w:line="400" w:lineRule="exact"/>
              <w:jc w:val="left"/>
              <w:rPr>
                <w:rFonts w:ascii="仿宋_GB2312" w:eastAsia="仿宋_GB2312"/>
                <w:sz w:val="24"/>
              </w:rPr>
            </w:pPr>
          </w:p>
        </w:tc>
        <w:tc>
          <w:tcPr>
            <w:tcW w:w="1044" w:type="dxa"/>
            <w:vAlign w:val="center"/>
          </w:tcPr>
          <w:p>
            <w:pPr>
              <w:tabs>
                <w:tab w:val="left" w:pos="765"/>
              </w:tabs>
              <w:spacing w:line="400" w:lineRule="exact"/>
              <w:jc w:val="left"/>
              <w:rPr>
                <w:rFonts w:ascii="仿宋_GB2312" w:eastAsia="仿宋_GB2312"/>
                <w:sz w:val="24"/>
              </w:rPr>
            </w:pPr>
          </w:p>
        </w:tc>
        <w:tc>
          <w:tcPr>
            <w:tcW w:w="1391" w:type="dxa"/>
            <w:vAlign w:val="center"/>
          </w:tcPr>
          <w:p>
            <w:pPr>
              <w:tabs>
                <w:tab w:val="left" w:pos="765"/>
              </w:tabs>
              <w:spacing w:line="400" w:lineRule="exact"/>
              <w:jc w:val="left"/>
              <w:rPr>
                <w:rFonts w:ascii="仿宋_GB2312" w:eastAsia="仿宋_GB2312"/>
                <w:sz w:val="24"/>
              </w:rPr>
            </w:pPr>
          </w:p>
        </w:tc>
      </w:tr>
    </w:tbl>
    <w:p>
      <w:pPr>
        <w:tabs>
          <w:tab w:val="left" w:pos="765"/>
        </w:tabs>
        <w:ind w:firstLine="480" w:firstLineChars="200"/>
        <w:rPr>
          <w:rFonts w:ascii="仿宋_GB2312" w:eastAsia="仿宋_GB2312"/>
          <w:sz w:val="24"/>
        </w:rPr>
      </w:pPr>
      <w:r>
        <w:rPr>
          <w:rFonts w:hint="eastAsia" w:ascii="仿宋_GB2312" w:eastAsia="仿宋_GB2312"/>
          <w:sz w:val="24"/>
        </w:rPr>
        <w:t>投标人：（盖章）</w:t>
      </w:r>
    </w:p>
    <w:p>
      <w:pPr>
        <w:tabs>
          <w:tab w:val="left" w:pos="765"/>
        </w:tabs>
        <w:ind w:firstLine="480" w:firstLineChars="200"/>
        <w:rPr>
          <w:rFonts w:ascii="仿宋_GB2312" w:eastAsia="仿宋_GB2312"/>
          <w:sz w:val="24"/>
        </w:rPr>
      </w:pPr>
    </w:p>
    <w:p>
      <w:pPr>
        <w:tabs>
          <w:tab w:val="left" w:pos="765"/>
        </w:tabs>
        <w:ind w:firstLine="480" w:firstLineChars="200"/>
        <w:rPr>
          <w:rFonts w:ascii="仿宋_GB2312" w:eastAsia="仿宋_GB2312"/>
          <w:sz w:val="24"/>
        </w:rPr>
      </w:pPr>
      <w:r>
        <w:rPr>
          <w:rFonts w:hint="eastAsia" w:ascii="仿宋_GB2312" w:eastAsia="仿宋_GB2312"/>
          <w:sz w:val="24"/>
        </w:rPr>
        <w:t>法定代表人：（签字、盖章）</w:t>
      </w:r>
    </w:p>
    <w:p>
      <w:pPr>
        <w:tabs>
          <w:tab w:val="left" w:pos="765"/>
        </w:tabs>
        <w:ind w:firstLine="432" w:firstLineChars="200"/>
        <w:rPr>
          <w:rFonts w:ascii="仿宋_GB2312" w:eastAsia="仿宋_GB2312"/>
          <w:w w:val="90"/>
          <w:sz w:val="24"/>
        </w:rPr>
      </w:pPr>
    </w:p>
    <w:p>
      <w:pPr>
        <w:tabs>
          <w:tab w:val="left" w:pos="765"/>
        </w:tabs>
        <w:ind w:firstLine="480" w:firstLineChars="200"/>
        <w:jc w:val="right"/>
        <w:rPr>
          <w:rFonts w:ascii="仿宋_GB2312" w:eastAsia="仿宋_GB2312"/>
          <w:sz w:val="24"/>
        </w:rPr>
      </w:pPr>
      <w:r>
        <w:rPr>
          <w:rFonts w:hint="eastAsia" w:ascii="仿宋_GB2312" w:eastAsia="仿宋_GB2312"/>
          <w:sz w:val="24"/>
        </w:rPr>
        <w:t>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仿宋_GB2312" w:eastAsia="仿宋_GB2312"/>
          <w:sz w:val="24"/>
        </w:rPr>
      </w:pPr>
    </w:p>
    <w:p>
      <w:pPr>
        <w:spacing w:line="520" w:lineRule="exact"/>
        <w:rPr>
          <w:rFonts w:ascii="宋体" w:hAnsi="宋体"/>
          <w:b/>
          <w:bCs/>
          <w:sz w:val="28"/>
        </w:rPr>
      </w:pPr>
      <w:r>
        <w:rPr>
          <w:rFonts w:hint="eastAsia" w:ascii="仿宋_GB2312" w:eastAsia="仿宋_GB2312"/>
          <w:sz w:val="24"/>
        </w:rPr>
        <w:t>附件二</w:t>
      </w:r>
    </w:p>
    <w:p>
      <w:pPr>
        <w:spacing w:line="520" w:lineRule="exact"/>
        <w:jc w:val="center"/>
        <w:rPr>
          <w:rFonts w:ascii="黑体" w:hAnsi="宋体" w:eastAsia="黑体"/>
          <w:b/>
          <w:bCs/>
          <w:sz w:val="32"/>
          <w:szCs w:val="32"/>
        </w:rPr>
      </w:pPr>
      <w:r>
        <w:rPr>
          <w:rFonts w:hint="eastAsia" w:ascii="黑体" w:hAnsi="宋体" w:eastAsia="黑体"/>
          <w:b/>
          <w:bCs/>
          <w:sz w:val="32"/>
          <w:szCs w:val="32"/>
        </w:rPr>
        <w:t>投标单位概况</w:t>
      </w:r>
    </w:p>
    <w:p>
      <w:pPr>
        <w:spacing w:line="520" w:lineRule="exact"/>
        <w:jc w:val="center"/>
        <w:rPr>
          <w:rFonts w:ascii="黑体" w:hAnsi="宋体" w:eastAsia="黑体"/>
          <w:b/>
          <w:bCs/>
          <w:sz w:val="32"/>
          <w:szCs w:val="32"/>
        </w:rPr>
      </w:pPr>
    </w:p>
    <w:tbl>
      <w:tblPr>
        <w:tblW w:w="8522"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91"/>
        <w:gridCol w:w="3089"/>
        <w:gridCol w:w="1210"/>
        <w:gridCol w:w="370"/>
        <w:gridCol w:w="1362"/>
        <w:gridCol w:w="1300"/>
      </w:tblGrid>
      <w:tr>
        <w:trPr>
          <w:cantSplit/>
          <w:trHeight w:val="415" w:hRule="atLeast"/>
        </w:trPr>
        <w:tc>
          <w:tcPr>
            <w:tcW w:w="1191"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企业名称</w:t>
            </w:r>
          </w:p>
        </w:tc>
        <w:tc>
          <w:tcPr>
            <w:tcW w:w="4669" w:type="dxa"/>
            <w:gridSpan w:val="3"/>
            <w:vAlign w:val="center"/>
          </w:tcPr>
          <w:p>
            <w:pPr>
              <w:spacing w:line="400" w:lineRule="exact"/>
              <w:jc w:val="left"/>
              <w:rPr>
                <w:rFonts w:ascii="仿宋_GB2312" w:hAnsi="宋体" w:eastAsia="仿宋_GB2312"/>
                <w:sz w:val="24"/>
              </w:rPr>
            </w:pPr>
          </w:p>
        </w:tc>
        <w:tc>
          <w:tcPr>
            <w:tcW w:w="1362"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建立日期</w:t>
            </w:r>
          </w:p>
        </w:tc>
        <w:tc>
          <w:tcPr>
            <w:tcW w:w="1300" w:type="dxa"/>
            <w:vAlign w:val="center"/>
          </w:tcPr>
          <w:p>
            <w:pPr>
              <w:spacing w:line="400" w:lineRule="exact"/>
              <w:jc w:val="left"/>
              <w:rPr>
                <w:rFonts w:ascii="仿宋_GB2312" w:hAnsi="宋体" w:eastAsia="仿宋_GB2312"/>
                <w:sz w:val="24"/>
              </w:rPr>
            </w:pPr>
          </w:p>
        </w:tc>
      </w:tr>
      <w:tr>
        <w:trPr>
          <w:cantSplit/>
          <w:trHeight w:val="429" w:hRule="atLeast"/>
        </w:trPr>
        <w:tc>
          <w:tcPr>
            <w:tcW w:w="1191"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资质等级</w:t>
            </w:r>
          </w:p>
        </w:tc>
        <w:tc>
          <w:tcPr>
            <w:tcW w:w="4669" w:type="dxa"/>
            <w:gridSpan w:val="3"/>
            <w:vAlign w:val="center"/>
          </w:tcPr>
          <w:p>
            <w:pPr>
              <w:spacing w:line="400" w:lineRule="exact"/>
              <w:jc w:val="left"/>
              <w:rPr>
                <w:rFonts w:ascii="仿宋_GB2312" w:hAnsi="宋体" w:eastAsia="仿宋_GB2312"/>
                <w:sz w:val="24"/>
              </w:rPr>
            </w:pPr>
          </w:p>
        </w:tc>
        <w:tc>
          <w:tcPr>
            <w:tcW w:w="1362"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企业性质</w:t>
            </w:r>
          </w:p>
        </w:tc>
        <w:tc>
          <w:tcPr>
            <w:tcW w:w="1300" w:type="dxa"/>
            <w:vAlign w:val="center"/>
          </w:tcPr>
          <w:p>
            <w:pPr>
              <w:spacing w:line="400" w:lineRule="exact"/>
              <w:jc w:val="left"/>
              <w:rPr>
                <w:rFonts w:ascii="仿宋_GB2312" w:hAnsi="宋体" w:eastAsia="仿宋_GB2312"/>
                <w:sz w:val="24"/>
              </w:rPr>
            </w:pPr>
          </w:p>
        </w:tc>
      </w:tr>
      <w:tr>
        <w:trPr>
          <w:cantSplit/>
          <w:trHeight w:val="415" w:hRule="atLeast"/>
        </w:trPr>
        <w:tc>
          <w:tcPr>
            <w:tcW w:w="1191"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批准单位</w:t>
            </w:r>
          </w:p>
        </w:tc>
        <w:tc>
          <w:tcPr>
            <w:tcW w:w="3089" w:type="dxa"/>
            <w:vAlign w:val="center"/>
          </w:tcPr>
          <w:p>
            <w:pPr>
              <w:spacing w:line="400" w:lineRule="exact"/>
              <w:jc w:val="left"/>
              <w:rPr>
                <w:rFonts w:ascii="仿宋_GB2312" w:hAnsi="宋体" w:eastAsia="仿宋_GB2312"/>
                <w:sz w:val="24"/>
              </w:rPr>
            </w:pPr>
          </w:p>
        </w:tc>
        <w:tc>
          <w:tcPr>
            <w:tcW w:w="1210"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经营方式</w:t>
            </w:r>
          </w:p>
        </w:tc>
        <w:tc>
          <w:tcPr>
            <w:tcW w:w="3032" w:type="dxa"/>
            <w:gridSpan w:val="3"/>
            <w:vAlign w:val="center"/>
          </w:tcPr>
          <w:p>
            <w:pPr>
              <w:spacing w:line="400" w:lineRule="exact"/>
              <w:jc w:val="left"/>
              <w:rPr>
                <w:rFonts w:ascii="仿宋_GB2312" w:hAnsi="宋体" w:eastAsia="仿宋_GB2312"/>
                <w:sz w:val="24"/>
              </w:rPr>
            </w:pPr>
          </w:p>
        </w:tc>
      </w:tr>
      <w:tr>
        <w:trPr>
          <w:cantSplit/>
          <w:trHeight w:val="415" w:hRule="atLeast"/>
        </w:trPr>
        <w:tc>
          <w:tcPr>
            <w:tcW w:w="1191"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经营范围</w:t>
            </w:r>
          </w:p>
        </w:tc>
        <w:tc>
          <w:tcPr>
            <w:tcW w:w="3089" w:type="dxa"/>
            <w:vAlign w:val="center"/>
          </w:tcPr>
          <w:p>
            <w:pPr>
              <w:spacing w:line="400" w:lineRule="exact"/>
              <w:jc w:val="left"/>
              <w:rPr>
                <w:rFonts w:ascii="仿宋_GB2312" w:hAnsi="宋体" w:eastAsia="仿宋_GB2312"/>
                <w:sz w:val="24"/>
              </w:rPr>
            </w:pPr>
          </w:p>
        </w:tc>
        <w:tc>
          <w:tcPr>
            <w:tcW w:w="1210" w:type="dxa"/>
            <w:vAlign w:val="center"/>
          </w:tcPr>
          <w:p>
            <w:pPr>
              <w:spacing w:line="400" w:lineRule="exact"/>
              <w:jc w:val="left"/>
              <w:rPr>
                <w:rFonts w:ascii="仿宋_GB2312" w:hAnsi="宋体" w:eastAsia="仿宋_GB2312"/>
                <w:sz w:val="24"/>
              </w:rPr>
            </w:pPr>
            <w:r>
              <w:rPr>
                <w:rFonts w:hint="eastAsia" w:ascii="仿宋_GB2312" w:hAnsi="宋体" w:eastAsia="仿宋_GB2312"/>
                <w:sz w:val="24"/>
              </w:rPr>
              <w:t>地    址</w:t>
            </w:r>
          </w:p>
        </w:tc>
        <w:tc>
          <w:tcPr>
            <w:tcW w:w="3032" w:type="dxa"/>
            <w:gridSpan w:val="3"/>
            <w:vAlign w:val="center"/>
          </w:tcPr>
          <w:p>
            <w:pPr>
              <w:spacing w:line="400" w:lineRule="exact"/>
              <w:jc w:val="left"/>
              <w:rPr>
                <w:rFonts w:ascii="仿宋_GB2312" w:hAnsi="宋体" w:eastAsia="仿宋_GB2312"/>
                <w:sz w:val="24"/>
              </w:rPr>
            </w:pPr>
          </w:p>
        </w:tc>
      </w:tr>
      <w:tr>
        <w:trPr>
          <w:cantSplit/>
          <w:trHeight w:val="1721" w:hRule="atLeast"/>
        </w:trPr>
        <w:tc>
          <w:tcPr>
            <w:tcW w:w="1191" w:type="dxa"/>
            <w:tcBorders>
              <w:bottom w:val="single" w:color="auto" w:sz="4" w:space="0"/>
            </w:tcBorders>
            <w:vAlign w:val="center"/>
          </w:tcPr>
          <w:p>
            <w:pPr>
              <w:spacing w:line="400" w:lineRule="exact"/>
              <w:jc w:val="left"/>
              <w:rPr>
                <w:rFonts w:ascii="仿宋_GB2312" w:hAnsi="宋体" w:eastAsia="仿宋_GB2312"/>
                <w:sz w:val="24"/>
              </w:rPr>
            </w:pPr>
            <w:r>
              <w:rPr>
                <w:rFonts w:hint="eastAsia" w:ascii="仿宋_GB2312" w:hAnsi="宋体" w:eastAsia="仿宋_GB2312"/>
                <w:sz w:val="24"/>
              </w:rPr>
              <w:t>企</w:t>
            </w:r>
          </w:p>
          <w:p>
            <w:pPr>
              <w:spacing w:line="400" w:lineRule="exact"/>
              <w:jc w:val="left"/>
              <w:rPr>
                <w:rFonts w:ascii="仿宋_GB2312" w:hAnsi="宋体" w:eastAsia="仿宋_GB2312"/>
                <w:sz w:val="24"/>
              </w:rPr>
            </w:pPr>
            <w:r>
              <w:rPr>
                <w:rFonts w:hint="eastAsia" w:ascii="仿宋_GB2312" w:hAnsi="宋体" w:eastAsia="仿宋_GB2312"/>
                <w:sz w:val="24"/>
              </w:rPr>
              <w:t>业</w:t>
            </w:r>
          </w:p>
          <w:p>
            <w:pPr>
              <w:spacing w:line="400" w:lineRule="exact"/>
              <w:jc w:val="left"/>
              <w:rPr>
                <w:rFonts w:ascii="仿宋_GB2312" w:hAnsi="宋体" w:eastAsia="仿宋_GB2312"/>
                <w:sz w:val="24"/>
              </w:rPr>
            </w:pPr>
            <w:r>
              <w:rPr>
                <w:rFonts w:hint="eastAsia" w:ascii="仿宋_GB2312" w:hAnsi="宋体" w:eastAsia="仿宋_GB2312"/>
                <w:sz w:val="24"/>
              </w:rPr>
              <w:t>简</w:t>
            </w:r>
          </w:p>
          <w:p>
            <w:pPr>
              <w:spacing w:line="400" w:lineRule="exact"/>
              <w:jc w:val="left"/>
              <w:rPr>
                <w:rFonts w:ascii="仿宋_GB2312" w:hAnsi="宋体" w:eastAsia="仿宋_GB2312"/>
                <w:sz w:val="24"/>
              </w:rPr>
            </w:pPr>
            <w:r>
              <w:rPr>
                <w:rFonts w:hint="eastAsia" w:ascii="仿宋_GB2312" w:hAnsi="宋体" w:eastAsia="仿宋_GB2312"/>
                <w:sz w:val="24"/>
              </w:rPr>
              <w:t>历</w:t>
            </w:r>
          </w:p>
        </w:tc>
        <w:tc>
          <w:tcPr>
            <w:tcW w:w="7331" w:type="dxa"/>
            <w:gridSpan w:val="5"/>
            <w:tcBorders>
              <w:bottom w:val="single" w:color="auto" w:sz="4" w:space="0"/>
            </w:tcBorders>
            <w:vAlign w:val="center"/>
          </w:tcPr>
          <w:p>
            <w:pPr>
              <w:spacing w:line="400" w:lineRule="exact"/>
              <w:jc w:val="left"/>
              <w:rPr>
                <w:rFonts w:ascii="仿宋_GB2312" w:hAnsi="宋体" w:eastAsia="仿宋_GB2312"/>
                <w:sz w:val="24"/>
              </w:rPr>
            </w:pPr>
          </w:p>
        </w:tc>
      </w:tr>
    </w:tbl>
    <w:p>
      <w:pPr>
        <w:spacing w:line="400" w:lineRule="exact"/>
        <w:jc w:val="left"/>
        <w:rPr>
          <w:rFonts w:ascii="仿宋_GB2312" w:hAnsi="宋体" w:eastAsia="仿宋_GB2312"/>
          <w:sz w:val="24"/>
        </w:rPr>
      </w:pPr>
    </w:p>
    <w:p>
      <w:pPr>
        <w:spacing w:line="400" w:lineRule="exact"/>
        <w:jc w:val="left"/>
        <w:rPr>
          <w:rFonts w:ascii="仿宋_GB2312" w:hAnsi="宋体" w:eastAsia="仿宋_GB2312"/>
          <w:sz w:val="24"/>
        </w:rPr>
      </w:pPr>
      <w:r>
        <w:rPr>
          <w:rFonts w:hint="eastAsia" w:ascii="仿宋_GB2312" w:hAnsi="宋体" w:eastAsia="仿宋_GB2312"/>
          <w:sz w:val="24"/>
        </w:rPr>
        <w:t>投标人：（盖章）</w:t>
      </w:r>
    </w:p>
    <w:p>
      <w:pPr>
        <w:spacing w:line="400" w:lineRule="exact"/>
        <w:jc w:val="left"/>
        <w:rPr>
          <w:rFonts w:ascii="仿宋_GB2312" w:hAnsi="宋体" w:eastAsia="仿宋_GB2312"/>
          <w:sz w:val="24"/>
        </w:rPr>
      </w:pPr>
      <w:r>
        <w:rPr>
          <w:rFonts w:hint="eastAsia" w:ascii="仿宋_GB2312" w:hAnsi="宋体" w:eastAsia="仿宋_GB2312"/>
          <w:sz w:val="24"/>
        </w:rPr>
        <w:t>法定代表人：（签字、盖章）</w:t>
      </w:r>
    </w:p>
    <w:p>
      <w:pPr>
        <w:pStyle w:val="23"/>
        <w:spacing w:line="400" w:lineRule="exact"/>
        <w:ind w:left="5250"/>
        <w:jc w:val="left"/>
        <w:rPr>
          <w:rFonts w:ascii="仿宋_GB2312" w:hAnsi="宋体" w:eastAsia="仿宋_GB2312"/>
        </w:rPr>
      </w:pPr>
    </w:p>
    <w:p>
      <w:pPr>
        <w:spacing w:line="400" w:lineRule="exact"/>
        <w:jc w:val="left"/>
        <w:rPr>
          <w:rFonts w:ascii="仿宋_GB2312" w:hAnsi="宋体" w:eastAsia="仿宋_GB2312"/>
          <w:sz w:val="24"/>
        </w:rPr>
      </w:pPr>
      <w:r>
        <w:rPr>
          <w:rFonts w:hint="eastAsia" w:ascii="仿宋_GB2312" w:hAnsi="宋体" w:eastAsia="仿宋_GB2312"/>
          <w:sz w:val="24"/>
        </w:rPr>
        <w:t xml:space="preserve">                                 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jc w:val="center"/>
        <w:rPr>
          <w:rFonts w:ascii="黑体" w:eastAsia="黑体"/>
          <w:sz w:val="30"/>
          <w:szCs w:val="30"/>
        </w:rPr>
      </w:pPr>
    </w:p>
    <w:p>
      <w:pPr>
        <w:spacing w:line="360" w:lineRule="auto"/>
        <w:jc w:val="center"/>
        <w:outlineLvl w:val="0"/>
        <w:rPr>
          <w:rFonts w:ascii="黑体" w:eastAsia="黑体"/>
          <w:sz w:val="32"/>
          <w:szCs w:val="32"/>
        </w:rPr>
      </w:pPr>
      <w:r>
        <w:rPr>
          <w:rFonts w:hint="eastAsia" w:ascii="黑体" w:eastAsia="黑体"/>
          <w:sz w:val="32"/>
          <w:szCs w:val="32"/>
        </w:rPr>
        <w:br w:type="page"/>
      </w:r>
      <w:bookmarkStart w:id="44" w:name="_Toc18002"/>
      <w:r>
        <w:rPr>
          <w:rFonts w:hint="eastAsia" w:ascii="黑体" w:eastAsia="黑体"/>
          <w:sz w:val="32"/>
          <w:szCs w:val="32"/>
        </w:rPr>
        <w:t>第</w:t>
      </w:r>
      <w:r>
        <w:rPr>
          <w:rFonts w:hint="eastAsia" w:ascii="黑体" w:eastAsia="黑体"/>
          <w:sz w:val="32"/>
          <w:szCs w:val="32"/>
          <w:lang w:eastAsia="zh-CN"/>
        </w:rPr>
        <w:t>五</w:t>
      </w:r>
      <w:r>
        <w:rPr>
          <w:rFonts w:hint="eastAsia" w:ascii="黑体" w:eastAsia="黑体"/>
          <w:sz w:val="32"/>
          <w:szCs w:val="32"/>
        </w:rPr>
        <w:t>部分   评标办法</w:t>
      </w:r>
      <w:bookmarkEnd w:id="44"/>
    </w:p>
    <w:p>
      <w:pPr>
        <w:snapToGrid w:val="0"/>
        <w:spacing w:line="400" w:lineRule="exact"/>
        <w:ind w:firstLine="480" w:firstLineChars="200"/>
        <w:jc w:val="left"/>
        <w:rPr>
          <w:rFonts w:ascii="仿宋_GB2312" w:hAnsi="宋体" w:eastAsia="仿宋_GB2312"/>
          <w:sz w:val="24"/>
        </w:rPr>
      </w:pPr>
      <w:r>
        <w:rPr>
          <w:rFonts w:hint="eastAsia" w:ascii="仿宋_GB2312" w:hAnsi="宋体" w:eastAsia="仿宋_GB2312"/>
          <w:b/>
          <w:sz w:val="24"/>
        </w:rPr>
        <w:t>1、评标办法及评标程序：</w:t>
      </w:r>
      <w:r>
        <w:rPr>
          <w:rFonts w:hint="eastAsia" w:ascii="仿宋_GB2312" w:hAnsi="宋体" w:eastAsia="仿宋_GB2312"/>
          <w:sz w:val="24"/>
        </w:rPr>
        <w:t xml:space="preserve"> </w:t>
      </w:r>
    </w:p>
    <w:p>
      <w:pPr>
        <w:spacing w:line="400" w:lineRule="exact"/>
        <w:ind w:firstLine="480" w:firstLineChars="200"/>
        <w:jc w:val="left"/>
        <w:rPr>
          <w:rFonts w:ascii="仿宋_GB2312" w:hAnsi="宋体" w:eastAsia="仿宋_GB2312"/>
          <w:sz w:val="24"/>
        </w:rPr>
      </w:pPr>
      <w:r>
        <w:rPr>
          <w:rFonts w:hint="eastAsia" w:ascii="仿宋_GB2312" w:eastAsia="仿宋_GB2312"/>
          <w:sz w:val="24"/>
        </w:rPr>
        <w:t>检查和</w:t>
      </w:r>
      <w:r>
        <w:rPr>
          <w:rFonts w:hint="eastAsia" w:ascii="仿宋_GB2312" w:hAnsi="宋体" w:eastAsia="仿宋_GB2312"/>
          <w:sz w:val="24"/>
        </w:rPr>
        <w:t>合格性评审：</w:t>
      </w:r>
      <w:r>
        <w:rPr>
          <w:rFonts w:hint="eastAsia" w:ascii="仿宋_GB2312" w:eastAsia="仿宋_GB2312"/>
          <w:sz w:val="24"/>
        </w:rPr>
        <w:t>先对投标文件的内容和格式进行检查、再进行综合合格性评审。</w:t>
      </w:r>
    </w:p>
    <w:p>
      <w:pPr>
        <w:rPr>
          <w:rFonts w:ascii="黑体" w:eastAsia="黑体"/>
          <w:sz w:val="32"/>
          <w:szCs w:val="32"/>
        </w:rPr>
      </w:pPr>
    </w:p>
    <w:sectPr>
      <w:footerReference r:id="rId6" w:type="default"/>
      <w:pgSz w:w="11906" w:h="16838"/>
      <w:pgMar w:top="1440" w:right="1800" w:bottom="1440" w:left="1800" w:header="851" w:footer="992" w:gutter="0"/>
      <w:pgNumType w:start="1"/>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A00002EF" w:usb1="4000004B" w:usb2="00000000" w:usb3="00000000" w:csb0="2000009F" w:csb1="00000000"/>
  </w:font>
  <w:font w:name="Calibri">
    <w:altName w:val="微软雅黑"/>
    <w:panose1 w:val="020F0502020204030204"/>
    <w:charset w:val="00"/>
    <w:family w:val="auto"/>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framePr w:wrap="around" w:hAnchor="margin" w:vAnchor="text" w:xAlign="center" w:y="1"/>
      <w:rPr>
        <w:rStyle w:val="25"/>
      </w:rPr>
    </w:pP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framePr w:wrap="around" w:hAnchor="margin" w:vAnchor="text" w:xAlign="center" w:y="1"/>
      <w:rPr>
        <w:rStyle w:val="25"/>
      </w:rPr>
    </w:pPr>
    <w:r>
      <w:fldChar w:fldCharType="begin"/>
    </w:r>
    <w:r>
      <w:rPr>
        <w:rStyle w:val="25"/>
      </w:rPr>
      <w:instrText xml:space="preserve">PAGE  </w:instrText>
    </w:r>
    <w:r>
      <w:fldChar w:fldCharType="separate"/>
    </w:r>
    <w:r>
      <w:rPr>
        <w:rStyle w:val="25"/>
      </w:rPr>
      <w:t>- 9 -</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pPr>
    <w:r>
      <w:fldChar w:fldCharType="begin"/>
    </w:r>
    <w:r>
      <w:rPr>
        <w:rStyle w:val="25"/>
      </w:rPr>
      <w:instrText xml:space="preserve"> PAGE </w:instrText>
    </w:r>
    <w:r>
      <w:fldChar w:fldCharType="separate"/>
    </w:r>
    <w:r>
      <w:rPr>
        <w:rStyle w:val="25"/>
      </w:rPr>
      <w:t>- 1 -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2"/>
      <w:numFmt w:val="decimal"/>
      <w:suff w:val="space"/>
      <w:lvlText w:val="%1."/>
      <w:lvlJc w:val="left"/>
    </w:lvl>
  </w:abstractNum>
  <w:abstractNum w:abstractNumId="11">
    <w:nsid w:val="0000000B"/>
    <w:multiLevelType w:val="multilevel"/>
    <w:tmpl w:val="0000000B"/>
    <w:lvl w:ilvl="0" w:tentative="1">
      <w:start w:val="1"/>
      <w:numFmt w:val="bullet"/>
      <w:lvlText w:val=""/>
      <w:lvlJc w:val="left"/>
      <w:pPr>
        <w:tabs>
          <w:tab w:val="left" w:pos="420"/>
        </w:tabs>
        <w:ind w:left="420"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2">
    <w:nsid w:val="0000000C"/>
    <w:multiLevelType w:val="multilevel"/>
    <w:tmpl w:val="0000000C"/>
    <w:lvl w:ilvl="0" w:tentative="1">
      <w:start w:val="1"/>
      <w:numFmt w:val="decimal"/>
      <w:pStyle w:val="2"/>
      <w:lvlText w:val="%1."/>
      <w:lvlJc w:val="left"/>
      <w:pPr>
        <w:tabs>
          <w:tab w:val="left" w:pos="360"/>
        </w:tabs>
        <w:ind w:left="357" w:hanging="357"/>
      </w:pPr>
      <w:rPr>
        <w:rFonts w:hint="default" w:ascii="Arial" w:hAnsi="Arial" w:eastAsia="宋体"/>
        <w:b/>
        <w:i w:val="0"/>
        <w:spacing w:val="0"/>
        <w:w w:val="100"/>
        <w:kern w:val="0"/>
        <w:position w:val="0"/>
        <w:sz w:val="28"/>
      </w:rPr>
    </w:lvl>
    <w:lvl w:ilvl="1" w:tentative="1">
      <w:start w:val="1"/>
      <w:numFmt w:val="decimal"/>
      <w:lvlText w:val="%1.%2"/>
      <w:lvlJc w:val="left"/>
      <w:pPr>
        <w:tabs>
          <w:tab w:val="left" w:pos="567"/>
        </w:tabs>
        <w:ind w:left="567" w:hanging="567"/>
      </w:pPr>
      <w:rPr>
        <w:rFonts w:hint="default" w:ascii="Arial" w:hAnsi="Arial" w:eastAsia="宋体"/>
        <w:b/>
        <w:i w:val="0"/>
        <w:spacing w:val="0"/>
        <w:w w:val="100"/>
        <w:kern w:val="0"/>
        <w:position w:val="0"/>
        <w:sz w:val="28"/>
      </w:rPr>
    </w:lvl>
    <w:lvl w:ilvl="2" w:tentative="1">
      <w:start w:val="1"/>
      <w:numFmt w:val="decimal"/>
      <w:lvlText w:val="%1.%2.%3"/>
      <w:lvlJc w:val="left"/>
      <w:pPr>
        <w:tabs>
          <w:tab w:val="left" w:pos="822"/>
        </w:tabs>
        <w:ind w:left="822" w:hanging="822"/>
      </w:pPr>
      <w:rPr>
        <w:rFonts w:hint="default" w:ascii="Arial" w:hAnsi="Arial" w:eastAsia="宋体"/>
        <w:b/>
        <w:i w:val="0"/>
        <w:spacing w:val="0"/>
        <w:w w:val="100"/>
        <w:kern w:val="0"/>
        <w:position w:val="0"/>
        <w:sz w:val="28"/>
      </w:rPr>
    </w:lvl>
    <w:lvl w:ilvl="3" w:tentative="1">
      <w:start w:val="1"/>
      <w:numFmt w:val="decimal"/>
      <w:lvlText w:val="%1.%2.%3.%4"/>
      <w:lvlJc w:val="left"/>
      <w:pPr>
        <w:tabs>
          <w:tab w:val="left" w:pos="981"/>
        </w:tabs>
        <w:ind w:left="981" w:hanging="981"/>
      </w:pPr>
      <w:rPr>
        <w:rFonts w:hint="default" w:ascii="Arial" w:hAnsi="Arial" w:eastAsia="宋体"/>
        <w:b/>
        <w:i w:val="0"/>
        <w:spacing w:val="0"/>
        <w:w w:val="100"/>
        <w:kern w:val="0"/>
        <w:position w:val="0"/>
        <w:sz w:val="28"/>
      </w:rPr>
    </w:lvl>
    <w:lvl w:ilvl="4" w:tentative="1">
      <w:start w:val="1"/>
      <w:numFmt w:val="decimal"/>
      <w:lvlText w:val="(%5)"/>
      <w:lvlJc w:val="left"/>
      <w:pPr>
        <w:tabs>
          <w:tab w:val="left" w:pos="567"/>
        </w:tabs>
        <w:ind w:left="567" w:hanging="539"/>
      </w:pPr>
      <w:rPr>
        <w:rFonts w:hint="default" w:ascii="Arial" w:hAnsi="Arial" w:eastAsia="宋体"/>
        <w:b w:val="0"/>
        <w:i w:val="0"/>
        <w:spacing w:val="0"/>
        <w:w w:val="100"/>
        <w:kern w:val="0"/>
        <w:position w:val="0"/>
        <w:sz w:val="28"/>
      </w:rPr>
    </w:lvl>
    <w:lvl w:ilvl="5" w:tentative="1">
      <w:start w:val="1"/>
      <w:numFmt w:val="bullet"/>
      <w:lvlText w:val=""/>
      <w:lvlJc w:val="left"/>
      <w:pPr>
        <w:tabs>
          <w:tab w:val="left" w:pos="1077"/>
        </w:tabs>
        <w:ind w:left="1077" w:hanging="510"/>
      </w:pPr>
      <w:rPr>
        <w:rFonts w:hint="default" w:ascii="Symbol" w:hAnsi="Symbol" w:eastAsia="宋体"/>
        <w:b/>
        <w:i w:val="0"/>
        <w:spacing w:val="0"/>
        <w:w w:val="100"/>
        <w:kern w:val="0"/>
        <w:position w:val="0"/>
        <w:sz w:val="28"/>
      </w:rPr>
    </w:lvl>
    <w:lvl w:ilvl="6" w:tentative="1">
      <w:start w:val="1"/>
      <w:numFmt w:val="bullet"/>
      <w:lvlText w:val=""/>
      <w:lvlJc w:val="left"/>
      <w:pPr>
        <w:tabs>
          <w:tab w:val="left" w:pos="1437"/>
        </w:tabs>
        <w:ind w:left="1435" w:hanging="358"/>
      </w:pPr>
      <w:rPr>
        <w:rFonts w:hint="default" w:ascii="Wingdings" w:hAnsi="Wingdings"/>
        <w:b w:val="0"/>
        <w:i w:val="0"/>
        <w:spacing w:val="0"/>
        <w:w w:val="100"/>
        <w:kern w:val="0"/>
        <w:position w:val="0"/>
        <w:sz w:val="28"/>
      </w:rPr>
    </w:lvl>
    <w:lvl w:ilvl="7" w:tentative="1">
      <w:start w:val="1"/>
      <w:numFmt w:val="bullet"/>
      <w:lvlText w:val=""/>
      <w:lvlJc w:val="left"/>
      <w:pPr>
        <w:tabs>
          <w:tab w:val="left" w:pos="1437"/>
        </w:tabs>
        <w:ind w:left="1435" w:hanging="358"/>
      </w:pPr>
      <w:rPr>
        <w:rFonts w:hint="default" w:ascii="Wingdings" w:hAnsi="Wingdings"/>
        <w:b w:val="0"/>
        <w:i w:val="0"/>
        <w:spacing w:val="0"/>
        <w:w w:val="100"/>
        <w:kern w:val="0"/>
        <w:position w:val="0"/>
        <w:sz w:val="28"/>
      </w:rPr>
    </w:lvl>
    <w:lvl w:ilvl="8" w:tentative="1">
      <w:start w:val="1"/>
      <w:numFmt w:val="none"/>
      <w:lvlText w:val=""/>
      <w:lvlJc w:val="left"/>
      <w:pPr>
        <w:tabs>
          <w:tab w:val="left" w:pos="0"/>
        </w:tabs>
        <w:ind w:left="0" w:firstLine="0"/>
      </w:pPr>
      <w:rPr>
        <w:rFonts w:hint="default" w:ascii="Wingdings" w:hAnsi="Wingdings"/>
      </w:rPr>
    </w:lvl>
  </w:abstractNum>
  <w:abstractNum w:abstractNumId="13">
    <w:nsid w:val="0000000D"/>
    <w:multiLevelType w:val="multilevel"/>
    <w:tmpl w:val="0000000D"/>
    <w:lvl w:ilvl="0" w:tentative="1">
      <w:start w:val="1"/>
      <w:numFmt w:val="chineseCounting"/>
      <w:lvlText w:val="第%1部分"/>
      <w:lvlJc w:val="center"/>
      <w:pPr>
        <w:tabs>
          <w:tab w:val="left" w:pos="425"/>
        </w:tabs>
        <w:ind w:left="0" w:firstLine="340"/>
      </w:pPr>
    </w:lvl>
    <w:lvl w:ilvl="1" w:tentative="1">
      <w:start w:val="1"/>
      <w:numFmt w:val="chineseCounting"/>
      <w:lvlText w:val="第%2章"/>
      <w:lvlJc w:val="center"/>
      <w:pPr>
        <w:tabs>
          <w:tab w:val="left" w:pos="992"/>
        </w:tabs>
        <w:ind w:left="170" w:firstLine="284"/>
      </w:pPr>
    </w:lvl>
    <w:lvl w:ilvl="2" w:tentative="1">
      <w:start w:val="1"/>
      <w:numFmt w:val="chineseCounting"/>
      <w:pStyle w:val="5"/>
      <w:lvlText w:val="%3、"/>
      <w:lvlJc w:val="left"/>
      <w:pPr>
        <w:tabs>
          <w:tab w:val="left" w:pos="1418"/>
        </w:tabs>
        <w:ind w:left="284" w:firstLine="396"/>
      </w:pPr>
    </w:lvl>
    <w:lvl w:ilvl="3" w:tentative="1">
      <w:start w:val="1"/>
      <w:numFmt w:val="none"/>
      <w:lvlText w:val="%4"/>
      <w:lvlJc w:val="left"/>
      <w:pPr>
        <w:tabs>
          <w:tab w:val="left" w:pos="1984"/>
        </w:tabs>
        <w:ind w:left="0" w:firstLine="284"/>
      </w:pPr>
    </w:lvl>
    <w:lvl w:ilvl="4" w:tentative="1">
      <w:start w:val="1"/>
      <w:numFmt w:val="none"/>
      <w:lvlText w:val="%5"/>
      <w:lvlJc w:val="left"/>
      <w:pPr>
        <w:tabs>
          <w:tab w:val="left" w:pos="2551"/>
        </w:tabs>
        <w:ind w:left="0" w:firstLine="284"/>
      </w:pPr>
    </w:lvl>
    <w:lvl w:ilvl="5" w:tentative="1">
      <w:start w:val="1"/>
      <w:numFmt w:val="none"/>
      <w:lvlText w:val="%6"/>
      <w:lvlJc w:val="left"/>
      <w:pPr>
        <w:tabs>
          <w:tab w:val="left" w:pos="3260"/>
        </w:tabs>
        <w:ind w:left="0" w:firstLine="284"/>
      </w:pPr>
    </w:lvl>
    <w:lvl w:ilvl="6" w:tentative="1">
      <w:start w:val="1"/>
      <w:numFmt w:val="none"/>
      <w:lvlText w:val="%7"/>
      <w:lvlJc w:val="left"/>
      <w:pPr>
        <w:tabs>
          <w:tab w:val="left" w:pos="3827"/>
        </w:tabs>
        <w:ind w:left="0" w:firstLine="284"/>
      </w:pPr>
    </w:lvl>
    <w:lvl w:ilvl="7" w:tentative="1">
      <w:start w:val="1"/>
      <w:numFmt w:val="none"/>
      <w:lvlText w:val="%8"/>
      <w:lvlJc w:val="left"/>
      <w:pPr>
        <w:tabs>
          <w:tab w:val="left" w:pos="4394"/>
        </w:tabs>
        <w:ind w:left="0" w:firstLine="284"/>
      </w:pPr>
    </w:lvl>
    <w:lvl w:ilvl="8" w:tentative="1">
      <w:start w:val="1"/>
      <w:numFmt w:val="none"/>
      <w:lvlText w:val="%9"/>
      <w:lvlJc w:val="left"/>
      <w:pPr>
        <w:tabs>
          <w:tab w:val="left" w:pos="5102"/>
        </w:tabs>
        <w:ind w:left="0" w:firstLine="284"/>
      </w:pPr>
    </w:lvl>
  </w:abstractNum>
  <w:num w:numId="1">
    <w:abstractNumId w:val="12"/>
  </w:num>
  <w:num w:numId="2">
    <w:abstractNumId w:val="13"/>
  </w:num>
  <w:num w:numId="3">
    <w:abstractNumId w:val="1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pPr>
      <w:numPr>
        <w:ilvl w:val="0"/>
        <w:numId w:val="1"/>
      </w:numPr>
      <w:tabs>
        <w:tab w:val="left" w:pos="440"/>
      </w:tabs>
      <w:adjustRightInd w:val="0"/>
      <w:spacing w:before="120" w:after="60" w:line="312" w:lineRule="auto"/>
      <w:outlineLvl w:val="0"/>
    </w:pPr>
    <w:rPr>
      <w:rFonts w:ascii="Arial" w:hAnsi="Arial"/>
      <w:b/>
      <w:kern w:val="0"/>
      <w:sz w:val="28"/>
    </w:rPr>
  </w:style>
  <w:style w:type="paragraph" w:styleId="4">
    <w:name w:val="heading 2"/>
    <w:basedOn w:val="1"/>
    <w:next w:val="3"/>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pPr>
      <w:keepNext/>
      <w:keepLines/>
      <w:numPr>
        <w:ilvl w:val="2"/>
        <w:numId w:val="2"/>
      </w:numPr>
      <w:tabs>
        <w:tab w:val="left" w:pos="425"/>
      </w:tabs>
      <w:spacing w:before="260" w:after="260" w:line="416" w:lineRule="auto"/>
      <w:outlineLvl w:val="2"/>
    </w:pPr>
    <w:rPr>
      <w:b/>
      <w:bCs/>
      <w:sz w:val="32"/>
      <w:szCs w:val="32"/>
    </w:rPr>
  </w:style>
  <w:style w:type="character" w:default="1" w:styleId="18">
    <w:name w:val="Default Paragraph Font"/>
  </w:style>
  <w:style w:type="paragraph" w:customStyle="1" w:styleId="3">
    <w:name w:val="正文首行缩进1"/>
    <w:basedOn w:val="1"/>
    <w:pPr>
      <w:tabs>
        <w:tab w:val="left" w:pos="560"/>
        <w:tab w:val="left" w:pos="3920"/>
        <w:tab w:val="left" w:pos="5600"/>
      </w:tabs>
      <w:spacing w:before="60" w:after="60" w:line="520" w:lineRule="exact"/>
      <w:ind w:firstLine="567"/>
      <w:textAlignment w:val="baseline"/>
    </w:pPr>
    <w:rPr>
      <w:rFonts w:ascii="Arial" w:hAnsi="Arial" w:eastAsia="仿宋_GB2312"/>
      <w:sz w:val="28"/>
    </w:rPr>
  </w:style>
  <w:style w:type="paragraph" w:styleId="6">
    <w:name w:val="toc 7"/>
    <w:basedOn w:val="1"/>
    <w:next w:val="1"/>
    <w:pPr>
      <w:ind w:left="2520" w:leftChars="1200"/>
    </w:pPr>
  </w:style>
  <w:style w:type="paragraph" w:styleId="7">
    <w:name w:val="annotation text"/>
    <w:basedOn w:val="1"/>
    <w:pPr>
      <w:adjustRightInd w:val="0"/>
      <w:spacing w:line="360" w:lineRule="atLeast"/>
      <w:jc w:val="left"/>
      <w:textAlignment w:val="baseline"/>
    </w:pPr>
    <w:rPr>
      <w:rFonts w:ascii="宋体"/>
      <w:kern w:val="0"/>
      <w:sz w:val="28"/>
      <w:szCs w:val="20"/>
    </w:rPr>
  </w:style>
  <w:style w:type="paragraph" w:styleId="8">
    <w:name w:val="toc 5"/>
    <w:basedOn w:val="1"/>
    <w:next w:val="1"/>
    <w:pPr>
      <w:ind w:left="1680" w:leftChars="800"/>
    </w:pPr>
  </w:style>
  <w:style w:type="paragraph" w:styleId="9">
    <w:name w:val="toc 3"/>
    <w:basedOn w:val="1"/>
    <w:next w:val="1"/>
    <w:pPr>
      <w:ind w:left="840" w:leftChars="400"/>
    </w:pPr>
  </w:style>
  <w:style w:type="paragraph" w:styleId="10">
    <w:name w:val="toc 8"/>
    <w:basedOn w:val="1"/>
    <w:next w:val="1"/>
    <w:pPr>
      <w:ind w:left="2940" w:leftChars="1400"/>
    </w:pPr>
  </w:style>
  <w:style w:type="paragraph" w:styleId="11">
    <w:name w:val="footer"/>
    <w:basedOn w:val="1"/>
    <w:pPr>
      <w:tabs>
        <w:tab w:val="center" w:pos="4153"/>
        <w:tab w:val="right" w:pos="8306"/>
      </w:tabs>
      <w:snapToGrid w:val="0"/>
      <w:jc w:val="left"/>
    </w:pPr>
    <w:rPr>
      <w:sz w:val="18"/>
      <w:szCs w:val="18"/>
    </w:rPr>
  </w:style>
  <w:style w:type="paragraph" w:styleId="12">
    <w:name w:val="header"/>
    <w:basedOn w:val="1"/>
    <w:pPr>
      <w:pBdr>
        <w:bottom w:val="single" w:color="auto" w:sz="6" w:space="1"/>
      </w:pBdr>
      <w:tabs>
        <w:tab w:val="center" w:pos="4153"/>
        <w:tab w:val="right" w:pos="8306"/>
      </w:tabs>
      <w:snapToGrid w:val="0"/>
      <w:jc w:val="center"/>
    </w:pPr>
    <w:rPr>
      <w:sz w:val="18"/>
      <w:szCs w:val="18"/>
    </w:rPr>
  </w:style>
  <w:style w:type="paragraph" w:styleId="13">
    <w:name w:val="toc 1"/>
    <w:basedOn w:val="1"/>
    <w:next w:val="1"/>
  </w:style>
  <w:style w:type="paragraph" w:styleId="14">
    <w:name w:val="toc 4"/>
    <w:basedOn w:val="1"/>
    <w:next w:val="1"/>
    <w:pPr>
      <w:ind w:left="1260" w:leftChars="600"/>
    </w:pPr>
  </w:style>
  <w:style w:type="paragraph" w:styleId="15">
    <w:name w:val="toc 6"/>
    <w:basedOn w:val="1"/>
    <w:next w:val="1"/>
    <w:pPr>
      <w:ind w:left="2100" w:leftChars="1000"/>
    </w:pPr>
  </w:style>
  <w:style w:type="paragraph" w:styleId="16">
    <w:name w:val="toc 2"/>
    <w:basedOn w:val="1"/>
    <w:next w:val="1"/>
    <w:pPr>
      <w:ind w:left="420" w:leftChars="200"/>
    </w:pPr>
  </w:style>
  <w:style w:type="paragraph" w:styleId="17">
    <w:name w:val="toc 9"/>
    <w:basedOn w:val="1"/>
    <w:next w:val="1"/>
    <w:pPr>
      <w:ind w:left="3360" w:leftChars="1600"/>
    </w:pPr>
  </w:style>
  <w:style w:type="character" w:styleId="19">
    <w:name w:val="Hyperlink"/>
    <w:basedOn w:val="18"/>
    <w:rPr>
      <w:color w:val="0000FF"/>
      <w:u w:val="single"/>
    </w:rPr>
  </w:style>
  <w:style w:type="paragraph" w:customStyle="1" w:styleId="20">
    <w:name w:val="正文文本 31"/>
    <w:basedOn w:val="1"/>
    <w:rPr>
      <w:rFonts w:ascii="仿宋_GB2312" w:hAnsi="宋体" w:eastAsia="仿宋_GB2312"/>
      <w:sz w:val="24"/>
    </w:rPr>
  </w:style>
  <w:style w:type="paragraph" w:customStyle="1" w:styleId="21">
    <w:name w:val="正文文本缩进1"/>
    <w:basedOn w:val="1"/>
    <w:pPr>
      <w:spacing w:after="120"/>
      <w:ind w:left="420" w:leftChars="200"/>
    </w:pPr>
  </w:style>
  <w:style w:type="paragraph" w:customStyle="1" w:styleId="22">
    <w:name w:val="纯文本1"/>
    <w:basedOn w:val="1"/>
    <w:rPr>
      <w:rFonts w:ascii="宋体" w:hAnsi="Courier New"/>
      <w:szCs w:val="21"/>
    </w:rPr>
  </w:style>
  <w:style w:type="paragraph" w:customStyle="1" w:styleId="23">
    <w:name w:val="日期1"/>
    <w:basedOn w:val="1"/>
    <w:next w:val="1"/>
    <w:pPr>
      <w:ind w:left="100" w:leftChars="2500"/>
    </w:pPr>
  </w:style>
  <w:style w:type="paragraph" w:customStyle="1" w:styleId="24">
    <w:name w:val="正文文本缩进 21"/>
    <w:basedOn w:val="1"/>
    <w:pPr>
      <w:spacing w:after="120" w:line="480" w:lineRule="auto"/>
      <w:ind w:left="420" w:leftChars="200"/>
    </w:pPr>
  </w:style>
  <w:style w:type="character" w:customStyle="1" w:styleId="25">
    <w:name w:val="页码1"/>
    <w:basedOn w:val="18"/>
    <w:rPr>
      <w:rFonts w:ascii="Arial" w:hAnsi="Arial" w:eastAsia="宋体"/>
      <w:spacing w:val="0"/>
      <w:w w:val="100"/>
      <w:kern w:val="0"/>
      <w:position w:val="0"/>
      <w:sz w:val="18"/>
    </w:rPr>
  </w:style>
  <w:style w:type="character" w:customStyle="1" w:styleId="26">
    <w:name w:val="font01"/>
    <w:basedOn w:val="18"/>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oleObject" Target="embeddings/oleObject1.bin"/><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29</Pages>
  <Words>1803</Words>
  <Characters>10282</Characters>
  <Lines>85</Lines>
  <Paragraphs>24</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2011-03-04T05:51:00Z</dcterms:created>
  <dc:creator>user</dc:creator>
  <cp:lastPrinted>2015-11-26T15:43:08Z</cp:lastPrinted>
  <dcterms:modified xsi:type="dcterms:W3CDTF">2015-11-26T16:26:03Z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