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炼钢部电搅线圈维修</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08</w:t>
      </w:r>
      <w:r>
        <w:rPr>
          <w:rFonts w:ascii="宋体" w:hAnsi="宋体"/>
          <w:color w:val="000000"/>
          <w:sz w:val="24"/>
          <w:szCs w:val="24"/>
        </w:rPr>
        <w:t>月</w:t>
      </w:r>
      <w:r>
        <w:rPr>
          <w:rFonts w:hint="eastAsia" w:ascii="宋体" w:hAnsi="宋体"/>
          <w:color w:val="000000"/>
          <w:sz w:val="24"/>
          <w:szCs w:val="24"/>
          <w:lang w:val="en-US" w:eastAsia="zh-CN"/>
        </w:rPr>
        <w:t>05</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XLGB</w:t>
      </w:r>
      <w:r>
        <w:rPr>
          <w:rFonts w:hint="eastAsia" w:ascii="宋体" w:hAnsi="宋体" w:cs="宋体"/>
          <w:sz w:val="24"/>
          <w:szCs w:val="24"/>
        </w:rPr>
        <w:t>20</w:t>
      </w:r>
      <w:r>
        <w:rPr>
          <w:rFonts w:hint="eastAsia" w:ascii="宋体" w:hAnsi="宋体" w:cs="宋体"/>
          <w:sz w:val="24"/>
          <w:szCs w:val="24"/>
          <w:lang w:val="en-US" w:eastAsia="zh-CN"/>
        </w:rPr>
        <w:t>21080501DJXQWX</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仿宋_GB2312" w:hAnsi="仿宋_GB2312" w:eastAsia="仿宋_GB2312" w:cs="仿宋_GB2312"/>
          <w:color w:val="FF0000"/>
          <w:sz w:val="24"/>
          <w:szCs w:val="22"/>
          <w:u w:val="none"/>
          <w:lang w:eastAsia="zh-CN"/>
        </w:rPr>
        <w:t>炼钢部电搅线圈维修</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08</w:t>
      </w:r>
      <w:r>
        <w:rPr>
          <w:rFonts w:hint="eastAsia" w:ascii="宋体" w:hAnsi="宋体" w:eastAsiaTheme="minorEastAsia" w:cstheme="minorBidi"/>
          <w:bCs/>
          <w:sz w:val="24"/>
          <w:szCs w:val="24"/>
        </w:rPr>
        <w:t>月</w:t>
      </w:r>
      <w:r>
        <w:rPr>
          <w:rFonts w:hint="eastAsia" w:ascii="宋体" w:hAnsi="宋体" w:eastAsiaTheme="minorEastAsia" w:cstheme="minorBidi"/>
          <w:bCs/>
          <w:sz w:val="24"/>
          <w:szCs w:val="24"/>
          <w:lang w:val="en-US" w:eastAsia="zh-CN"/>
        </w:rPr>
        <w:t>0</w:t>
      </w:r>
      <w:r>
        <w:rPr>
          <w:rFonts w:hint="eastAsia" w:ascii="宋体" w:hAnsi="宋体" w:eastAsiaTheme="minorEastAsia" w:cstheme="minorBidi"/>
          <w:bCs/>
          <w:color w:val="FF0000"/>
          <w:sz w:val="24"/>
          <w:szCs w:val="24"/>
          <w:lang w:val="en-US" w:eastAsia="zh-CN"/>
        </w:rPr>
        <w:t>5</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18</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08</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16</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w:t>
      </w:r>
      <w:r>
        <w:rPr>
          <w:rFonts w:hint="eastAsia" w:ascii="宋体" w:hAnsi="宋体" w:eastAsiaTheme="minorEastAsia" w:cstheme="minorBidi"/>
          <w:bCs/>
          <w:color w:val="FF0000"/>
          <w:sz w:val="24"/>
          <w:szCs w:val="24"/>
          <w:lang w:val="en-US" w:eastAsia="zh-CN"/>
        </w:rPr>
        <w:t>6</w:t>
      </w:r>
      <w:r>
        <w:rPr>
          <w:rFonts w:hint="eastAsia" w:ascii="宋体" w:hAnsi="宋体" w:eastAsiaTheme="minorEastAsia" w:cstheme="minorBidi"/>
          <w:bCs/>
          <w:color w:val="FF0000"/>
          <w:sz w:val="24"/>
          <w:szCs w:val="24"/>
        </w:rPr>
        <w:t>:</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08</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19</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仿宋_GB2312" w:hAnsi="仿宋_GB2312" w:eastAsia="仿宋_GB2312" w:cs="仿宋_GB2312"/>
          <w:color w:val="FF0000"/>
          <w:sz w:val="24"/>
          <w:szCs w:val="22"/>
          <w:u w:val="none"/>
          <w:lang w:eastAsia="zh-CN"/>
        </w:rPr>
        <w:t>炼钢部电搅线圈维修</w:t>
      </w:r>
      <w:r>
        <w:rPr>
          <w:rFonts w:hint="eastAsia" w:ascii="仿宋_GB2312" w:hAnsi="仿宋_GB2312" w:eastAsia="仿宋_GB2312" w:cs="仿宋_GB2312"/>
          <w:color w:val="FF0000"/>
          <w:sz w:val="24"/>
          <w:szCs w:val="22"/>
          <w:u w:val="none"/>
        </w:rPr>
        <w:t xml:space="preserve"> </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ind w:left="638" w:leftChars="304"/>
        <w:rPr>
          <w:rFonts w:hint="eastAsia" w:ascii="宋体" w:hAnsi="宋体"/>
          <w:sz w:val="24"/>
          <w:szCs w:val="24"/>
        </w:rPr>
      </w:pPr>
      <w:r>
        <w:rPr>
          <w:rFonts w:hint="eastAsia" w:ascii="宋体" w:hAnsi="宋体"/>
          <w:sz w:val="24"/>
          <w:szCs w:val="24"/>
        </w:rPr>
        <w:t>项目业务内容：</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en-US" w:eastAsia="zh-CN"/>
        </w:rPr>
        <w:t>炼钢部现有14台电搅线圈存在不同程度故障</w:t>
      </w:r>
      <w:r>
        <w:rPr>
          <w:rFonts w:hint="eastAsia" w:ascii="宋体" w:hAnsi="宋体" w:cs="宋体"/>
          <w:b/>
          <w:bCs/>
          <w:sz w:val="24"/>
          <w:szCs w:val="24"/>
          <w:lang w:val="en-US" w:eastAsia="zh-CN"/>
        </w:rPr>
        <w:t>，需要进行维修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型号：DJFR-380C 1台 锈蚀严重、漏水、鼓包 </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DJMR-570 7台  锈蚀严重、漏水、鼓包</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DJFR-620C 3台 锈蚀严重、鼓包</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DJMR-830 3台  锈蚀严重、漏水</w:t>
      </w:r>
      <w:r>
        <w:rPr>
          <w:rFonts w:hint="eastAsia" w:ascii="宋体" w:hAnsi="宋体" w:cs="宋体"/>
          <w:sz w:val="24"/>
          <w:szCs w:val="24"/>
          <w:lang w:val="en-US" w:eastAsia="zh-CN"/>
        </w:rPr>
        <w:t>；</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2、更换绕组线圈及内部水管（含附件）绝缘等级H级；</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3、更换链接快插头（配套公母件）；</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4、更换过滤器及外壳矫正；</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5、线圈附件更换，螺栓更换为不锈钢材质</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6、质保期18个月（按到货时间算）；</w:t>
      </w:r>
    </w:p>
    <w:p>
      <w:pPr>
        <w:ind w:left="638" w:leftChars="304"/>
        <w:rPr>
          <w:rFonts w:hint="default" w:ascii="宋体" w:hAnsi="宋体" w:eastAsia="宋体"/>
          <w:sz w:val="24"/>
          <w:szCs w:val="24"/>
          <w:lang w:val="en-US" w:eastAsia="zh-CN"/>
        </w:rPr>
      </w:pP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进行明细报价（详见报价单附件）。</w:t>
      </w:r>
    </w:p>
    <w:p>
      <w:pPr>
        <w:pStyle w:val="8"/>
        <w:shd w:val="clear" w:color="auto" w:fill="FFFFFF"/>
        <w:ind w:firstLine="480" w:firstLineChars="200"/>
        <w:rPr>
          <w:b w:val="0"/>
          <w:bCs w:val="0"/>
          <w:color w:val="FF0000"/>
          <w:szCs w:val="24"/>
        </w:rPr>
      </w:pPr>
      <w:r>
        <w:rPr>
          <w:rFonts w:hint="eastAsia"/>
          <w:b w:val="0"/>
          <w:bCs w:val="0"/>
          <w:szCs w:val="24"/>
        </w:rPr>
        <w:t>联系人及电话：</w:t>
      </w:r>
    </w:p>
    <w:p>
      <w:pPr>
        <w:ind w:firstLine="600" w:firstLineChars="250"/>
        <w:rPr>
          <w:rFonts w:hint="default" w:ascii="宋体" w:hAnsi="宋体"/>
          <w:b w:val="0"/>
          <w:bCs w:val="0"/>
          <w:sz w:val="24"/>
          <w:szCs w:val="24"/>
          <w:lang w:val="en-US" w:eastAsia="zh-CN"/>
        </w:rPr>
      </w:pPr>
      <w:r>
        <w:rPr>
          <w:rFonts w:hint="eastAsia" w:ascii="宋体" w:hAnsi="宋体"/>
          <w:b w:val="0"/>
          <w:bCs w:val="0"/>
          <w:sz w:val="24"/>
          <w:szCs w:val="24"/>
        </w:rPr>
        <w:t xml:space="preserve">招标办：     </w:t>
      </w:r>
      <w:r>
        <w:rPr>
          <w:rFonts w:hint="eastAsia" w:ascii="宋体" w:hAnsi="宋体"/>
          <w:b w:val="0"/>
          <w:bCs w:val="0"/>
          <w:sz w:val="24"/>
          <w:szCs w:val="24"/>
          <w:lang w:val="en-US" w:eastAsia="zh-CN"/>
        </w:rPr>
        <w:t xml:space="preserve">  </w:t>
      </w:r>
      <w:r>
        <w:rPr>
          <w:rFonts w:hint="eastAsia" w:ascii="宋体" w:hAnsi="宋体"/>
          <w:b w:val="0"/>
          <w:bCs w:val="0"/>
          <w:sz w:val="24"/>
          <w:szCs w:val="24"/>
        </w:rPr>
        <w:t xml:space="preserve"> </w:t>
      </w:r>
      <w:r>
        <w:rPr>
          <w:rFonts w:hint="eastAsia" w:ascii="宋体" w:hAnsi="宋体"/>
          <w:b w:val="0"/>
          <w:bCs w:val="0"/>
          <w:sz w:val="24"/>
          <w:szCs w:val="24"/>
          <w:lang w:eastAsia="zh-CN"/>
        </w:rPr>
        <w:t>谢</w:t>
      </w:r>
      <w:r>
        <w:rPr>
          <w:rFonts w:hint="eastAsia" w:ascii="宋体" w:hAnsi="宋体"/>
          <w:b w:val="0"/>
          <w:bCs w:val="0"/>
          <w:sz w:val="24"/>
          <w:szCs w:val="24"/>
        </w:rPr>
        <w:t xml:space="preserve">  工   18055375917</w:t>
      </w:r>
    </w:p>
    <w:p>
      <w:pPr>
        <w:ind w:firstLine="600" w:firstLineChars="250"/>
        <w:rPr>
          <w:rFonts w:hint="default" w:ascii="宋体" w:hAnsi="宋体"/>
          <w:b w:val="0"/>
          <w:bCs w:val="0"/>
          <w:sz w:val="24"/>
          <w:szCs w:val="24"/>
          <w:lang w:val="en-US" w:eastAsia="zh-CN"/>
        </w:rPr>
      </w:pPr>
      <w:r>
        <w:rPr>
          <w:rFonts w:hint="eastAsia" w:ascii="宋体" w:hAnsi="宋体"/>
          <w:b w:val="0"/>
          <w:bCs w:val="0"/>
          <w:sz w:val="24"/>
          <w:szCs w:val="24"/>
        </w:rPr>
        <w:t xml:space="preserve">生产管理部：    </w:t>
      </w:r>
      <w:r>
        <w:rPr>
          <w:rFonts w:hint="eastAsia" w:ascii="宋体" w:hAnsi="宋体"/>
          <w:b w:val="0"/>
          <w:bCs w:val="0"/>
          <w:sz w:val="24"/>
          <w:szCs w:val="24"/>
          <w:lang w:val="en-US" w:eastAsia="zh-CN"/>
        </w:rPr>
        <w:t>许</w:t>
      </w:r>
      <w:r>
        <w:rPr>
          <w:rFonts w:hint="eastAsia" w:ascii="宋体" w:hAnsi="宋体"/>
          <w:b w:val="0"/>
          <w:bCs w:val="0"/>
          <w:sz w:val="24"/>
          <w:szCs w:val="24"/>
        </w:rPr>
        <w:t xml:space="preserve">  工</w:t>
      </w:r>
      <w:r>
        <w:rPr>
          <w:rFonts w:hint="eastAsia" w:ascii="宋体" w:hAnsi="宋体"/>
          <w:b w:val="0"/>
          <w:bCs w:val="0"/>
          <w:sz w:val="24"/>
          <w:szCs w:val="24"/>
          <w:lang w:val="en-US" w:eastAsia="zh-CN"/>
        </w:rPr>
        <w:t xml:space="preserve">   15255307938</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b w:val="0"/>
          <w:bCs w:val="0"/>
          <w:sz w:val="24"/>
          <w:szCs w:val="24"/>
          <w:lang w:val="en-US" w:eastAsia="zh-CN"/>
        </w:rPr>
      </w:pPr>
      <w:r>
        <w:rPr>
          <w:rFonts w:hint="eastAsia"/>
          <w:b w:val="0"/>
          <w:bCs w:val="0"/>
          <w:sz w:val="24"/>
          <w:szCs w:val="24"/>
          <w:lang w:val="en-US" w:eastAsia="zh-CN"/>
        </w:rPr>
        <w:t xml:space="preserve"> </w:t>
      </w:r>
      <w:r>
        <w:rPr>
          <w:rFonts w:hint="eastAsia" w:ascii="宋体" w:hAnsi="宋体" w:eastAsia="宋体" w:cs="Times New Roman"/>
          <w:b w:val="0"/>
          <w:bCs w:val="0"/>
          <w:kern w:val="2"/>
          <w:sz w:val="24"/>
          <w:szCs w:val="24"/>
          <w:lang w:val="en-US" w:eastAsia="zh-CN" w:bidi="ar-SA"/>
        </w:rPr>
        <w:t xml:space="preserve">  </w:t>
      </w:r>
      <w:r>
        <w:rPr>
          <w:rFonts w:hint="eastAsia" w:cs="Times New Roman"/>
          <w:b w:val="0"/>
          <w:bCs w:val="0"/>
          <w:kern w:val="2"/>
          <w:sz w:val="24"/>
          <w:szCs w:val="24"/>
          <w:lang w:val="en-US" w:eastAsia="zh-CN" w:bidi="ar-SA"/>
        </w:rPr>
        <w:t xml:space="preserve"> 炼钢</w:t>
      </w:r>
      <w:r>
        <w:rPr>
          <w:rFonts w:hint="eastAsia" w:ascii="宋体" w:hAnsi="宋体"/>
          <w:b w:val="0"/>
          <w:bCs w:val="0"/>
          <w:sz w:val="24"/>
          <w:szCs w:val="24"/>
        </w:rPr>
        <w:t>部：</w:t>
      </w:r>
      <w:r>
        <w:rPr>
          <w:rFonts w:hint="eastAsia"/>
          <w:b w:val="0"/>
          <w:bCs w:val="0"/>
          <w:sz w:val="24"/>
          <w:szCs w:val="24"/>
          <w:lang w:val="en-US" w:eastAsia="zh-CN"/>
        </w:rPr>
        <w:t xml:space="preserve">     </w:t>
      </w:r>
      <w:r>
        <w:rPr>
          <w:rFonts w:hint="eastAsia" w:ascii="宋体" w:hAnsi="宋体"/>
          <w:b w:val="0"/>
          <w:bCs w:val="0"/>
          <w:sz w:val="24"/>
          <w:szCs w:val="24"/>
        </w:rPr>
        <w:t xml:space="preserve">   </w:t>
      </w:r>
      <w:r>
        <w:rPr>
          <w:rFonts w:hint="eastAsia"/>
          <w:b w:val="0"/>
          <w:bCs w:val="0"/>
          <w:sz w:val="24"/>
          <w:szCs w:val="24"/>
          <w:lang w:eastAsia="zh-CN"/>
        </w:rPr>
        <w:t>丁</w:t>
      </w:r>
      <w:r>
        <w:rPr>
          <w:rFonts w:hint="eastAsia" w:ascii="宋体" w:hAnsi="宋体"/>
          <w:b w:val="0"/>
          <w:bCs w:val="0"/>
          <w:sz w:val="24"/>
          <w:szCs w:val="24"/>
        </w:rPr>
        <w:t xml:space="preserve">  工</w:t>
      </w:r>
      <w:r>
        <w:rPr>
          <w:rFonts w:hint="eastAsia" w:ascii="宋体" w:hAnsi="宋体"/>
          <w:b w:val="0"/>
          <w:bCs w:val="0"/>
          <w:sz w:val="24"/>
          <w:szCs w:val="24"/>
          <w:lang w:val="en-US" w:eastAsia="zh-CN"/>
        </w:rPr>
        <w:t xml:space="preserve">   </w:t>
      </w:r>
      <w:r>
        <w:rPr>
          <w:rFonts w:hint="eastAsia"/>
          <w:b w:val="0"/>
          <w:bCs w:val="0"/>
          <w:sz w:val="24"/>
          <w:szCs w:val="24"/>
          <w:lang w:val="en-US" w:eastAsia="zh-CN"/>
        </w:rPr>
        <w:t>13505596785</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sz w:val="24"/>
          <w:szCs w:val="24"/>
          <w:lang w:val="en-US" w:eastAsia="zh-CN"/>
        </w:rPr>
      </w:pPr>
      <w:r>
        <w:rPr>
          <w:rFonts w:hint="eastAsia" w:ascii="宋体" w:hAnsi="宋体" w:eastAsia="宋体"/>
          <w:sz w:val="24"/>
          <w:szCs w:val="24"/>
        </w:rPr>
        <w:t>开 户 行：中国工商银行芜湖环城路支行</w:t>
      </w:r>
    </w:p>
    <w:p>
      <w:pPr>
        <w:ind w:firstLine="1680" w:firstLineChars="700"/>
        <w:rPr>
          <w:rFonts w:hint="eastAsia" w:ascii="宋体" w:hAnsi="宋体" w:eastAsia="宋体"/>
          <w:sz w:val="24"/>
          <w:szCs w:val="24"/>
        </w:rPr>
      </w:pPr>
      <w:r>
        <w:rPr>
          <w:rFonts w:hint="eastAsia" w:ascii="宋体" w:hAnsi="宋体" w:eastAsia="宋体"/>
          <w:sz w:val="24"/>
          <w:szCs w:val="24"/>
        </w:rPr>
        <w:t>帐    号：1307023219000109264</w:t>
      </w:r>
    </w:p>
    <w:p>
      <w:pPr>
        <w:ind w:firstLine="1680" w:firstLineChars="700"/>
        <w:rPr>
          <w:rFonts w:hint="eastAsia" w:ascii="宋体" w:hAnsi="宋体" w:eastAsia="宋体"/>
          <w:sz w:val="24"/>
          <w:szCs w:val="24"/>
        </w:rPr>
      </w:pPr>
      <w:r>
        <w:rPr>
          <w:rFonts w:hint="eastAsia" w:ascii="宋体" w:hAnsi="宋体" w:eastAsia="宋体"/>
          <w:sz w:val="24"/>
          <w:szCs w:val="24"/>
        </w:rPr>
        <w:t xml:space="preserve">电    话：0553-5698563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邮    编：241002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联 系 人：谢金林            </w:t>
      </w:r>
    </w:p>
    <w:p>
      <w:pPr>
        <w:ind w:firstLine="1680" w:firstLineChars="700"/>
        <w:rPr>
          <w:rFonts w:hint="eastAsia" w:ascii="宋体" w:hAnsi="宋体" w:eastAsia="宋体"/>
          <w:sz w:val="24"/>
          <w:szCs w:val="24"/>
        </w:rPr>
      </w:pPr>
      <w:r>
        <w:rPr>
          <w:rFonts w:hint="eastAsia" w:ascii="宋体" w:hAnsi="宋体" w:eastAsia="宋体"/>
          <w:sz w:val="24"/>
          <w:szCs w:val="24"/>
        </w:rPr>
        <w:t>邮    箱：xiejinlin3@126.com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eastAsia="宋体" w:cs="宋体"/>
          <w:b/>
          <w:bCs w:val="0"/>
          <w:color w:val="FF0000"/>
          <w:sz w:val="24"/>
          <w:szCs w:val="24"/>
          <w:u w:val="single"/>
          <w:lang w:eastAsia="zh-CN"/>
        </w:rPr>
        <w:t>贰</w:t>
      </w:r>
      <w:r>
        <w:rPr>
          <w:rFonts w:hint="eastAsia" w:ascii="宋体" w:hAnsi="宋体" w:eastAsia="宋体" w:cs="宋体"/>
          <w:b/>
          <w:bCs w:val="0"/>
          <w:color w:val="FF0000"/>
          <w:sz w:val="24"/>
          <w:szCs w:val="24"/>
          <w:u w:val="single"/>
          <w:lang w:val="en-US" w:eastAsia="zh-CN"/>
        </w:rPr>
        <w:t>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8</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16</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w:t>
      </w:r>
      <w:r>
        <w:rPr>
          <w:rFonts w:hint="eastAsia" w:ascii="宋体" w:hAnsi="宋体" w:eastAsia="宋体"/>
          <w:sz w:val="24"/>
          <w:szCs w:val="24"/>
        </w:rPr>
        <w:t>中国工商银行芜湖环城路支行</w:t>
      </w:r>
    </w:p>
    <w:p>
      <w:pPr>
        <w:ind w:left="638" w:leftChars="304" w:firstLine="480" w:firstLineChars="200"/>
        <w:rPr>
          <w:rFonts w:hint="eastAsia" w:ascii="宋体" w:hAnsi="宋体" w:cs="宋体"/>
          <w:b/>
          <w:bCs w:val="0"/>
          <w:color w:val="FF0000"/>
          <w:sz w:val="24"/>
          <w:szCs w:val="24"/>
          <w:lang w:val="en-US" w:eastAsia="zh-CN"/>
        </w:rPr>
      </w:pPr>
      <w:r>
        <w:rPr>
          <w:rFonts w:hint="eastAsia" w:ascii="宋体" w:hAnsi="宋体" w:eastAsia="宋体" w:cs="宋体"/>
          <w:bCs/>
          <w:sz w:val="24"/>
          <w:szCs w:val="24"/>
        </w:rPr>
        <w:t>帐    号：1307023219000109264</w:t>
      </w:r>
      <w:r>
        <w:rPr>
          <w:rFonts w:hint="eastAsia" w:ascii="宋体" w:hAnsi="宋体" w:cs="宋体"/>
          <w:b/>
          <w:bCs w:val="0"/>
          <w:color w:val="FF0000"/>
          <w:sz w:val="24"/>
          <w:szCs w:val="24"/>
          <w:lang w:val="en-US" w:eastAsia="zh-CN"/>
        </w:rPr>
        <w:t xml:space="preserve"> </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十二、结算及付款</w:t>
      </w:r>
      <w:r>
        <w:rPr>
          <w:rFonts w:hint="eastAsia" w:ascii="宋体" w:hAnsi="宋体" w:eastAsia="宋体" w:cs="宋体"/>
          <w:b/>
          <w:color w:val="auto"/>
          <w:sz w:val="24"/>
          <w:szCs w:val="24"/>
          <w:lang w:val="en-US" w:eastAsia="zh-CN"/>
        </w:rPr>
        <w:t>指导</w:t>
      </w:r>
      <w:r>
        <w:rPr>
          <w:rFonts w:hint="eastAsia" w:ascii="宋体" w:hAnsi="宋体" w:eastAsia="宋体" w:cs="宋体"/>
          <w:b/>
          <w:color w:val="auto"/>
          <w:sz w:val="24"/>
          <w:szCs w:val="24"/>
        </w:rPr>
        <w:t>方式</w:t>
      </w:r>
    </w:p>
    <w:p>
      <w:pPr>
        <w:numPr>
          <w:ilvl w:val="0"/>
          <w:numId w:val="0"/>
        </w:numPr>
        <w:ind w:leftChars="303"/>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结算方式：承揽方维修结束，由发包方业主单位验收合格后，承揽方开具相应增值税专用发票；发票入账三个月付款</w:t>
      </w:r>
      <w:r>
        <w:rPr>
          <w:rFonts w:hint="eastAsia" w:ascii="宋体" w:hAnsi="宋体" w:cs="宋体"/>
          <w:bCs/>
          <w:color w:val="auto"/>
          <w:sz w:val="24"/>
          <w:szCs w:val="24"/>
          <w:lang w:val="en-US" w:eastAsia="zh-CN"/>
        </w:rPr>
        <w:t>9</w:t>
      </w:r>
      <w:r>
        <w:rPr>
          <w:rFonts w:hint="eastAsia" w:ascii="宋体" w:hAnsi="宋体" w:eastAsia="宋体" w:cs="宋体"/>
          <w:bCs/>
          <w:color w:val="auto"/>
          <w:sz w:val="24"/>
          <w:szCs w:val="24"/>
          <w:lang w:val="en-US" w:eastAsia="zh-CN"/>
        </w:rPr>
        <w:t>0%</w:t>
      </w:r>
      <w:r>
        <w:rPr>
          <w:rFonts w:hint="eastAsia" w:ascii="宋体" w:hAnsi="宋体" w:cs="宋体"/>
          <w:bCs/>
          <w:color w:val="auto"/>
          <w:sz w:val="24"/>
          <w:szCs w:val="24"/>
          <w:lang w:val="en-US" w:eastAsia="zh-CN"/>
        </w:rPr>
        <w:t>,10%质保金</w:t>
      </w:r>
      <w:r>
        <w:rPr>
          <w:rFonts w:hint="eastAsia" w:ascii="宋体" w:hAnsi="宋体" w:eastAsia="宋体" w:cs="宋体"/>
          <w:bCs/>
          <w:color w:val="auto"/>
          <w:sz w:val="24"/>
          <w:szCs w:val="24"/>
          <w:lang w:val="en-US" w:eastAsia="zh-CN"/>
        </w:rPr>
        <w:t>。付款方式，</w:t>
      </w:r>
      <w:r>
        <w:rPr>
          <w:rFonts w:hint="eastAsia" w:ascii="宋体" w:hAnsi="宋体" w:eastAsia="宋体" w:cs="宋体"/>
          <w:bCs/>
          <w:color w:val="auto"/>
          <w:sz w:val="24"/>
          <w:szCs w:val="24"/>
        </w:rPr>
        <w:t>2万元及以下电汇，2万以上付承兑汇票。</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十三、评标标准</w:t>
      </w:r>
    </w:p>
    <w:p>
      <w:pPr>
        <w:ind w:left="638" w:leftChars="304"/>
        <w:rPr>
          <w:rFonts w:hint="eastAsia" w:ascii="宋体" w:hAnsi="宋体" w:eastAsia="宋体" w:cs="宋体"/>
          <w:color w:val="auto"/>
          <w:sz w:val="24"/>
          <w:szCs w:val="24"/>
        </w:rPr>
      </w:pPr>
      <w:r>
        <w:rPr>
          <w:rFonts w:hint="eastAsia" w:ascii="宋体" w:hAnsi="宋体" w:eastAsia="宋体" w:cs="宋体"/>
          <w:color w:val="auto"/>
          <w:sz w:val="24"/>
          <w:szCs w:val="24"/>
        </w:rPr>
        <w:t>由评标委员会评分，按分数从高到低顺序推荐中标候选单位。</w:t>
      </w:r>
    </w:p>
    <w:p>
      <w:pPr>
        <w:ind w:left="638" w:leftChars="304"/>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本次采取综合评分方式进行评标。</w:t>
      </w:r>
    </w:p>
    <w:p>
      <w:pPr>
        <w:ind w:left="638" w:leftChars="304"/>
        <w:rPr>
          <w:rFonts w:hint="eastAsia" w:ascii="宋体" w:hAnsi="宋体" w:eastAsia="宋体" w:cs="宋体"/>
          <w:color w:val="auto"/>
          <w:sz w:val="24"/>
          <w:szCs w:val="24"/>
        </w:rPr>
      </w:pPr>
      <w:r>
        <w:rPr>
          <w:rFonts w:hint="eastAsia" w:ascii="宋体" w:hAnsi="宋体" w:eastAsia="宋体" w:cs="宋体"/>
          <w:color w:val="auto"/>
          <w:sz w:val="24"/>
          <w:szCs w:val="24"/>
        </w:rPr>
        <w:t>评分标准：价格</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分，质量</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分，资质、装备及工艺技术水平、业绩</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分，服务、工期及资金状况10分。</w:t>
      </w:r>
    </w:p>
    <w:p>
      <w:pPr>
        <w:numPr>
          <w:ilvl w:val="0"/>
          <w:numId w:val="6"/>
        </w:numPr>
        <w:rPr>
          <w:rFonts w:hint="eastAsia" w:ascii="宋体" w:hAnsi="宋体" w:eastAsia="宋体" w:cs="宋体"/>
          <w:b/>
          <w:color w:val="auto"/>
          <w:sz w:val="24"/>
          <w:szCs w:val="24"/>
        </w:rPr>
      </w:pPr>
      <w:r>
        <w:rPr>
          <w:rFonts w:hint="eastAsia" w:ascii="宋体" w:hAnsi="宋体" w:eastAsia="宋体" w:cs="宋体"/>
          <w:b/>
          <w:color w:val="auto"/>
          <w:sz w:val="24"/>
          <w:szCs w:val="24"/>
        </w:rPr>
        <w:t>其他要求</w:t>
      </w:r>
      <w:r>
        <w:rPr>
          <w:rFonts w:hint="eastAsia" w:ascii="宋体" w:hAnsi="宋体" w:cs="宋体"/>
          <w:b/>
          <w:color w:val="auto"/>
          <w:sz w:val="24"/>
          <w:szCs w:val="24"/>
          <w:lang w:val="en-US" w:eastAsia="zh-CN"/>
        </w:rPr>
        <w:t xml:space="preserve">(电搅线圈维修技术要求)   </w:t>
      </w:r>
    </w:p>
    <w:p>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1总体技术要求</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此次维修合计1</w:t>
      </w:r>
      <w:r>
        <w:rPr>
          <w:rFonts w:ascii="宋体" w:hAnsi="宋体"/>
          <w:bCs/>
          <w:color w:val="auto"/>
          <w:sz w:val="24"/>
        </w:rPr>
        <w:t>4</w:t>
      </w:r>
      <w:r>
        <w:rPr>
          <w:rFonts w:hint="eastAsia" w:ascii="宋体" w:hAnsi="宋体"/>
          <w:bCs/>
          <w:color w:val="auto"/>
          <w:sz w:val="24"/>
        </w:rPr>
        <w:t>台线圈，其中</w:t>
      </w:r>
      <w:r>
        <w:rPr>
          <w:rFonts w:ascii="宋体" w:hAnsi="宋体"/>
          <w:bCs/>
          <w:color w:val="auto"/>
          <w:sz w:val="24"/>
        </w:rPr>
        <w:t>2连铸末端电搅线圈（型号：DJFR-380C）1台线圈，首端电搅线圈（型号：DJMR-570）7台线圈，3连铸末端电搅线圈（型号：DJFR-620C）3台线圈，首端电搅线圈（型号：DJMR-830）3台线圈，。</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维修方需要对电搅线圈进行整体更换，附件更换，外壳矫正等工作，使得经过维修的设备在性能上，达到原有设计指标，并提供完整的维修和检验报告。</w:t>
      </w:r>
    </w:p>
    <w:p>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2维修内容要求</w:t>
      </w:r>
    </w:p>
    <w:p>
      <w:pPr>
        <w:adjustRightInd w:val="0"/>
        <w:snapToGrid w:val="0"/>
        <w:spacing w:line="360" w:lineRule="auto"/>
        <w:rPr>
          <w:rFonts w:hint="eastAsia"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rPr>
        <w:t>1</w:t>
      </w:r>
      <w:r>
        <w:rPr>
          <w:rFonts w:hint="eastAsia" w:ascii="宋体" w:hAnsi="宋体"/>
          <w:b/>
          <w:bCs/>
          <w:color w:val="auto"/>
          <w:sz w:val="24"/>
          <w:lang w:eastAsia="zh-CN"/>
        </w:rPr>
        <w:t>）</w:t>
      </w:r>
      <w:r>
        <w:rPr>
          <w:rFonts w:ascii="宋体" w:hAnsi="宋体"/>
          <w:b/>
          <w:bCs/>
          <w:color w:val="auto"/>
          <w:sz w:val="24"/>
        </w:rPr>
        <w:t>.</w:t>
      </w:r>
      <w:r>
        <w:rPr>
          <w:rFonts w:hint="eastAsia" w:ascii="宋体" w:hAnsi="宋体"/>
          <w:b/>
          <w:bCs/>
          <w:color w:val="auto"/>
          <w:sz w:val="24"/>
        </w:rPr>
        <w:t>首端线圈</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1.更换线圈内部铜管，内部绕组绝缘等级H级；</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2.更换线圈内部水管；</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3.线圈外壳矫正；</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4.线圈附件更换，螺栓更换为304不锈钢材质；</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5.维修更换下来的有色金属材料打包返厂。</w:t>
      </w:r>
    </w:p>
    <w:p>
      <w:pPr>
        <w:adjustRightInd w:val="0"/>
        <w:snapToGrid w:val="0"/>
        <w:spacing w:line="360" w:lineRule="auto"/>
        <w:rPr>
          <w:rFonts w:hint="eastAsia"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2</w:t>
      </w:r>
      <w:r>
        <w:rPr>
          <w:rFonts w:hint="eastAsia" w:ascii="宋体" w:hAnsi="宋体"/>
          <w:b/>
          <w:bCs/>
          <w:color w:val="auto"/>
          <w:sz w:val="24"/>
          <w:lang w:eastAsia="zh-CN"/>
        </w:rPr>
        <w:t>）</w:t>
      </w:r>
      <w:r>
        <w:rPr>
          <w:rFonts w:ascii="宋体" w:hAnsi="宋体"/>
          <w:b/>
          <w:bCs/>
          <w:color w:val="auto"/>
          <w:sz w:val="24"/>
        </w:rPr>
        <w:t>.</w:t>
      </w:r>
      <w:r>
        <w:rPr>
          <w:rFonts w:hint="eastAsia" w:ascii="宋体" w:hAnsi="宋体"/>
          <w:b/>
          <w:bCs/>
          <w:color w:val="auto"/>
          <w:sz w:val="24"/>
        </w:rPr>
        <w:t>末端线圈</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1.更换线圈内部铜管，内部绕组绝缘等级H级；</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2.更换线圈内部水管；</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3.线圈外壳矫正；</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4</w:t>
      </w:r>
      <w:r>
        <w:rPr>
          <w:rFonts w:ascii="宋体" w:hAnsi="宋体"/>
          <w:bCs/>
          <w:color w:val="auto"/>
          <w:sz w:val="24"/>
        </w:rPr>
        <w:t>.</w:t>
      </w:r>
      <w:r>
        <w:rPr>
          <w:rFonts w:hint="eastAsia" w:ascii="宋体" w:hAnsi="宋体"/>
          <w:bCs/>
          <w:color w:val="auto"/>
          <w:sz w:val="24"/>
        </w:rPr>
        <w:t>水冷隔板切开清淤；</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5.线圈附件更换，螺栓更换304不锈钢材质；</w:t>
      </w:r>
    </w:p>
    <w:p>
      <w:pPr>
        <w:adjustRightInd w:val="0"/>
        <w:snapToGrid w:val="0"/>
        <w:spacing w:line="360" w:lineRule="auto"/>
        <w:ind w:firstLine="480" w:firstLineChars="200"/>
        <w:rPr>
          <w:rFonts w:ascii="宋体" w:hAnsi="宋体"/>
          <w:bCs/>
          <w:color w:val="auto"/>
          <w:sz w:val="24"/>
        </w:rPr>
      </w:pPr>
      <w:r>
        <w:rPr>
          <w:rFonts w:ascii="宋体" w:hAnsi="宋体"/>
          <w:bCs/>
          <w:color w:val="auto"/>
          <w:sz w:val="24"/>
        </w:rPr>
        <w:t>6.维修更换下来的有色金属材料打包返厂。</w:t>
      </w:r>
    </w:p>
    <w:p>
      <w:pPr>
        <w:pStyle w:val="2"/>
        <w:rPr>
          <w:rFonts w:hint="eastAsia"/>
          <w:color w:val="auto"/>
          <w:lang w:val="en-US" w:eastAsia="zh-CN"/>
        </w:rPr>
      </w:pPr>
    </w:p>
    <w:p>
      <w:pPr>
        <w:ind w:left="638" w:leftChars="304"/>
        <w:rPr>
          <w:rFonts w:hint="default" w:ascii="宋体" w:hAnsi="宋体" w:eastAsia="宋体" w:cs="宋体"/>
          <w:b/>
          <w:bCs/>
          <w:color w:val="auto"/>
          <w:sz w:val="24"/>
          <w:lang w:val="en-US" w:eastAsia="zh-CN"/>
        </w:rPr>
      </w:pPr>
      <w:r>
        <w:rPr>
          <w:rFonts w:hint="default" w:ascii="宋体" w:hAnsi="宋体" w:eastAsia="宋体" w:cs="宋体"/>
          <w:b/>
          <w:bCs/>
          <w:color w:val="auto"/>
          <w:sz w:val="24"/>
          <w:szCs w:val="24"/>
          <w:lang w:val="en-US" w:eastAsia="zh-CN"/>
        </w:rPr>
        <w:t>本次招标项目最高投标限价为：</w:t>
      </w:r>
      <w:r>
        <w:rPr>
          <w:rFonts w:hint="eastAsia" w:cs="宋体"/>
          <w:b/>
          <w:bCs/>
          <w:color w:val="auto"/>
          <w:sz w:val="24"/>
          <w:szCs w:val="24"/>
          <w:lang w:val="en-US" w:eastAsia="zh-CN"/>
        </w:rPr>
        <w:t>108万元（壹佰零捌万元）</w:t>
      </w:r>
      <w:r>
        <w:rPr>
          <w:rFonts w:hint="eastAsia" w:ascii="宋体" w:hAnsi="宋体" w:cs="宋体"/>
          <w:b/>
          <w:bCs/>
          <w:color w:val="auto"/>
          <w:sz w:val="24"/>
          <w:szCs w:val="24"/>
          <w:lang w:val="en-US" w:eastAsia="zh-CN"/>
        </w:rPr>
        <w:t>，</w:t>
      </w:r>
      <w:r>
        <w:rPr>
          <w:rFonts w:hint="default" w:ascii="宋体" w:hAnsi="宋体" w:eastAsia="宋体" w:cs="宋体"/>
          <w:b/>
          <w:bCs/>
          <w:color w:val="auto"/>
          <w:sz w:val="24"/>
          <w:szCs w:val="24"/>
          <w:lang w:val="en-US" w:eastAsia="zh-CN"/>
        </w:rPr>
        <w:t>报价高于此最高投标限价的作废标处理。</w:t>
      </w:r>
    </w:p>
    <w:p>
      <w:pPr>
        <w:jc w:val="right"/>
        <w:rPr>
          <w:rFonts w:hint="eastAsia" w:ascii="宋体" w:hAnsi="宋体" w:eastAsia="宋体" w:cs="宋体"/>
          <w:b/>
          <w:color w:val="auto"/>
          <w:sz w:val="28"/>
          <w:szCs w:val="28"/>
        </w:rPr>
      </w:pPr>
    </w:p>
    <w:p>
      <w:pPr>
        <w:jc w:val="right"/>
        <w:rPr>
          <w:rFonts w:hint="eastAsia" w:ascii="宋体" w:hAnsi="宋体" w:eastAsia="宋体" w:cs="宋体"/>
          <w:b/>
          <w:color w:val="auto"/>
          <w:sz w:val="28"/>
          <w:szCs w:val="28"/>
        </w:rPr>
      </w:pPr>
    </w:p>
    <w:p>
      <w:pPr>
        <w:jc w:val="right"/>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rPr>
          <w:rFonts w:hint="eastAsia"/>
        </w:rPr>
      </w:pPr>
    </w:p>
    <w:p>
      <w:pPr>
        <w:jc w:val="right"/>
        <w:rPr>
          <w:rFonts w:hint="eastAsia" w:ascii="宋体" w:hAnsi="宋体" w:eastAsia="宋体" w:cs="宋体"/>
          <w:b/>
          <w:color w:val="auto"/>
          <w:sz w:val="28"/>
          <w:szCs w:val="28"/>
        </w:rPr>
      </w:pPr>
      <w:r>
        <w:rPr>
          <w:rFonts w:hint="eastAsia" w:ascii="宋体" w:hAnsi="宋体" w:eastAsia="宋体" w:cs="宋体"/>
          <w:b/>
          <w:color w:val="auto"/>
          <w:sz w:val="28"/>
          <w:szCs w:val="28"/>
        </w:rPr>
        <w:t>芜湖新兴铸管有限责任公司</w:t>
      </w:r>
    </w:p>
    <w:p>
      <w:pPr>
        <w:jc w:val="right"/>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05日</w:t>
      </w:r>
    </w:p>
    <w:p>
      <w:pPr>
        <w:jc w:val="both"/>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color w:val="auto"/>
        </w:rPr>
      </w:pPr>
    </w:p>
    <w:p>
      <w:pPr>
        <w:rPr>
          <w:rFonts w:hint="eastAsia" w:ascii="宋体" w:hAnsi="宋体" w:eastAsia="宋体" w:cs="宋体"/>
          <w:color w:val="auto"/>
          <w:sz w:val="24"/>
          <w:szCs w:val="24"/>
        </w:rPr>
      </w:pPr>
    </w:p>
    <w:p>
      <w:pPr>
        <w:pStyle w:val="2"/>
        <w:rPr>
          <w:rFonts w:hint="eastAsia"/>
          <w:color w:val="auto"/>
        </w:rPr>
      </w:pPr>
    </w:p>
    <w:p>
      <w:pPr>
        <w:jc w:val="both"/>
        <w:rPr>
          <w:rFonts w:hint="eastAsia" w:ascii="宋体" w:hAnsi="宋体" w:eastAsia="宋体" w:cs="宋体"/>
          <w:color w:val="auto"/>
          <w:sz w:val="24"/>
          <w:szCs w:val="24"/>
          <w:lang w:val="en-US" w:eastAsia="zh-CN"/>
        </w:rPr>
      </w:pPr>
    </w:p>
    <w:p>
      <w:pPr>
        <w:pStyle w:val="2"/>
        <w:rPr>
          <w:rFonts w:hint="eastAsia"/>
          <w:color w:val="auto"/>
          <w:lang w:val="en-US" w:eastAsia="zh-CN"/>
        </w:rPr>
      </w:pPr>
    </w:p>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r>
        <w:rPr>
          <w:rFonts w:hint="eastAsia" w:ascii="宋体" w:hAnsi="宋体" w:cs="宋体"/>
          <w:color w:val="auto"/>
          <w:sz w:val="24"/>
          <w:szCs w:val="24"/>
          <w:lang w:val="en-US" w:eastAsia="zh-CN"/>
        </w:rPr>
        <w:t>单：</w:t>
      </w:r>
    </w:p>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tabs>
          <w:tab w:val="left" w:pos="720"/>
          <w:tab w:val="left" w:pos="7200"/>
        </w:tabs>
        <w:snapToGrid w:val="0"/>
        <w:spacing w:line="240" w:lineRule="atLeast"/>
        <w:rPr>
          <w:b/>
        </w:rPr>
      </w:pPr>
      <w:r>
        <w:rPr>
          <w:sz w:val="21"/>
        </w:rPr>
        <mc:AlternateContent>
          <mc:Choice Requires="wps">
            <w:drawing>
              <wp:anchor distT="0" distB="0" distL="114300" distR="114300" simplePos="0" relativeHeight="251662336" behindDoc="0" locked="0" layoutInCell="1" allowOverlap="1">
                <wp:simplePos x="0" y="0"/>
                <wp:positionH relativeFrom="column">
                  <wp:posOffset>-387350</wp:posOffset>
                </wp:positionH>
                <wp:positionV relativeFrom="paragraph">
                  <wp:posOffset>13970</wp:posOffset>
                </wp:positionV>
                <wp:extent cx="6453505" cy="4225290"/>
                <wp:effectExtent l="4445" t="4445" r="19050" b="18415"/>
                <wp:wrapNone/>
                <wp:docPr id="1" name="文本框 1"/>
                <wp:cNvGraphicFramePr/>
                <a:graphic xmlns:a="http://schemas.openxmlformats.org/drawingml/2006/main">
                  <a:graphicData uri="http://schemas.microsoft.com/office/word/2010/wordprocessingShape">
                    <wps:wsp>
                      <wps:cNvSpPr txBox="1"/>
                      <wps:spPr>
                        <a:xfrm>
                          <a:off x="857250" y="655320"/>
                          <a:ext cx="6453505" cy="4225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FF"/>
                              </w:rPr>
                            </w:pPr>
                          </w:p>
                          <w:tbl>
                            <w:tblPr>
                              <w:tblStyle w:val="9"/>
                              <w:tblW w:w="9795" w:type="dxa"/>
                              <w:tblInd w:w="0" w:type="dxa"/>
                              <w:shd w:val="clear" w:color="auto" w:fill="auto"/>
                              <w:tblLayout w:type="fixed"/>
                              <w:tblCellMar>
                                <w:top w:w="0" w:type="dxa"/>
                                <w:left w:w="0" w:type="dxa"/>
                                <w:bottom w:w="0" w:type="dxa"/>
                                <w:right w:w="0" w:type="dxa"/>
                              </w:tblCellMar>
                            </w:tblPr>
                            <w:tblGrid>
                              <w:gridCol w:w="630"/>
                              <w:gridCol w:w="1605"/>
                              <w:gridCol w:w="1081"/>
                              <w:gridCol w:w="1500"/>
                              <w:gridCol w:w="1199"/>
                              <w:gridCol w:w="1260"/>
                              <w:gridCol w:w="1260"/>
                              <w:gridCol w:w="1260"/>
                            </w:tblGrid>
                            <w:tr>
                              <w:tblPrEx>
                                <w:shd w:val="clear" w:color="auto" w:fill="auto"/>
                                <w:tblCellMar>
                                  <w:top w:w="0" w:type="dxa"/>
                                  <w:left w:w="0" w:type="dxa"/>
                                  <w:bottom w:w="0" w:type="dxa"/>
                                  <w:right w:w="0" w:type="dxa"/>
                                </w:tblCellMar>
                              </w:tblPrEx>
                              <w:trPr>
                                <w:trHeight w:val="615" w:hRule="atLeast"/>
                              </w:trPr>
                              <w:tc>
                                <w:tcPr>
                                  <w:tcW w:w="979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cs="宋体"/>
                                      <w:b/>
                                      <w:i w:val="0"/>
                                      <w:color w:val="auto"/>
                                      <w:kern w:val="0"/>
                                      <w:sz w:val="36"/>
                                      <w:szCs w:val="36"/>
                                      <w:u w:val="none"/>
                                      <w:lang w:val="en-US" w:eastAsia="zh-CN" w:bidi="ar"/>
                                    </w:rPr>
                                    <w:t>炼钢部电搅线圈维修</w:t>
                                  </w:r>
                                  <w:r>
                                    <w:rPr>
                                      <w:rFonts w:hint="eastAsia" w:ascii="宋体" w:hAnsi="宋体" w:eastAsia="宋体" w:cs="宋体"/>
                                      <w:b/>
                                      <w:i w:val="0"/>
                                      <w:color w:val="auto"/>
                                      <w:kern w:val="0"/>
                                      <w:sz w:val="36"/>
                                      <w:szCs w:val="36"/>
                                      <w:u w:val="none"/>
                                      <w:lang w:val="en-US" w:eastAsia="zh-CN" w:bidi="ar"/>
                                    </w:rPr>
                                    <w:t>报价表</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kern w:val="0"/>
                                      <w:sz w:val="22"/>
                                      <w:szCs w:val="22"/>
                                      <w:u w:val="none"/>
                                      <w:lang w:val="en-US" w:eastAsia="zh-CN" w:bidi="ar"/>
                                    </w:rPr>
                                    <w:t>设备</w:t>
                                  </w:r>
                                  <w:r>
                                    <w:rPr>
                                      <w:rFonts w:hint="eastAsia" w:ascii="宋体" w:hAnsi="宋体" w:cs="宋体"/>
                                      <w:i w:val="0"/>
                                      <w:color w:val="auto"/>
                                      <w:kern w:val="0"/>
                                      <w:sz w:val="22"/>
                                      <w:szCs w:val="22"/>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型号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报价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分项报价合计（元）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814" w:hRule="atLeast"/>
                              </w:trPr>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26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2连铸末端电搅线圈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DJFR-380C</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1台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2连铸首端电搅线圈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DJMR-570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bCs/>
                                      <w:color w:val="auto"/>
                                      <w:sz w:val="24"/>
                                      <w:lang w:val="en-US" w:eastAsia="zh-CN"/>
                                    </w:rPr>
                                    <w:t>7</w:t>
                                  </w:r>
                                  <w:r>
                                    <w:rPr>
                                      <w:rFonts w:ascii="宋体" w:hAnsi="宋体"/>
                                      <w:bCs/>
                                      <w:color w:val="auto"/>
                                      <w:sz w:val="24"/>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4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3连铸末端电搅线圈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DJFR-620C</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3台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11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3连铸首端电搅线圈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DJMR-830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3台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720"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一次报价合计：</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元；</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报价金额大写：</w:t>
                                  </w:r>
                                </w:p>
                              </w:tc>
                              <w:tc>
                                <w:tcPr>
                                  <w:tcW w:w="11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税率：</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w:t>
                                  </w:r>
                                </w:p>
                              </w:tc>
                              <w:tc>
                                <w:tcPr>
                                  <w:tcW w:w="12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pPr>
                          </w:p>
                          <w:p/>
                          <w:p>
                            <w:pPr>
                              <w:pStyle w:val="2"/>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1.1pt;height:332.7pt;width:508.15pt;z-index:251662336;mso-width-relative:page;mso-height-relative:page;" fillcolor="#FFFFFF [3201]" filled="t" stroked="t" coordsize="21600,21600" o:gfxdata="UEsDBAoAAAAAAIdO4kAAAAAAAAAAAAAAAAAEAAAAZHJzL1BLAwQUAAAACACHTuJAtwzq29YAAAAJ&#10;AQAADwAAAGRycy9kb3ducmV2LnhtbE2PzU7DMBCE70i8g7VI3FrnRzU0zaYSSEiIGyUXbm68TSLs&#10;dRS7TXl7zAmOoxnNfFPvr86KC81h9IyQrzMQxJ03I/cI7cfL6hFEiJqNtp4J4ZsC7Jvbm1pXxi/8&#10;TpdD7EUq4VBphCHGqZIydAM5HdZ+Ik7eyc9OxyTnXppZL6ncWVlkmZJOj5wWBj3R80Dd1+HsEF7V&#10;U/yk1ryZsij90spuPtmAeH+XZzsQka7xLwy/+AkdmsR09Gc2QViElcrTl4hQFCCSv91sShBHBKUe&#10;FMimlv8fND9QSwMEFAAAAAgAh07iQL86Y6tgAgAAwgQAAA4AAABkcnMvZTJvRG9jLnhtbK1UzW4T&#10;MRC+I/EOlu90kyVb2qibKrQKQqpopYI4O15vdoX/sJ3slgeAN+DEhTvP1efgs3f7z6EHcnDGni/f&#10;zHwzk6PjXkmyE863Rpd0ujehRGhuqlZvSvrp4+rVASU+MF0xabQo6ZXw9Hjx8sVRZ+ciN42RlXAE&#10;JNrPO1vSJgQ7zzLPG6GY3zNWaDhr4xQLuLpNVjnWgV3JLJ9M9rPOuMo6w4X3eD0dnHRkdM8hNHXd&#10;cnFq+FYJHQZWJyQLKMk3rfV0kbKta8HDeV17EYgsKSoN6UQQ2Ot4ZosjNt84ZpuWjymw56TwqCbF&#10;Wo2gt1SnLDCyde0TKtVyZ7ypwx43KhsKSYqgiunkkTaXDbMi1QKpvb0V3f8/Wv5hd+FIW2ESKNFM&#10;oeHXP39c//pz/fs7mUZ5OuvnQF1a4EL/1vQROr57PMaq+9qp+I16CPwHxZu8gMJXJd0vitf5KLPo&#10;A+Fw78+K18WkoIQDMMvzIj9MiOyOyDof3gmjSDRK6tDHJC/bnfmA4IDeQGJcb2RbrVop08Vt1ifS&#10;kR1Dz1fpE/PFTx7ApCYdckEmifmBL3LfUqwl41+eMoBPatBGfQYdohX6dT+KszbVFTRzZhg6b/mq&#10;Be8Z8+GCOUwZFMIehnMctTRIxowWJY1x3/71HvFoPryUdJjakvqvW+YEJfK9xlgcTmezOObpMkMb&#10;cHH3Pev7Hr1VJwYiofXILpkRH+SNWTujPmNdlzEqXExzxC5puDFPwrBLWHculssEwmBbFs70peWR&#10;OrZEm+U2mLpNrYsyDdqM6mG0U3vGNYy7c/+eUHd/PY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wzq29YAAAAJAQAADwAAAAAAAAABACAAAAAiAAAAZHJzL2Rvd25yZXYueG1sUEsBAhQAFAAAAAgA&#10;h07iQL86Y6tgAgAAwgQAAA4AAAAAAAAAAQAgAAAAJQEAAGRycy9lMm9Eb2MueG1sUEsFBgAAAAAG&#10;AAYAWQEAAPcFAAAAAA==&#10;">
                <v:fill on="t" focussize="0,0"/>
                <v:stroke weight="0.5pt" color="#000000 [3204]" joinstyle="round"/>
                <v:imagedata o:title=""/>
                <o:lock v:ext="edit" aspectratio="f"/>
                <v:textbox>
                  <w:txbxContent>
                    <w:p>
                      <w:pPr>
                        <w:rPr>
                          <w:color w:val="0000FF"/>
                        </w:rPr>
                      </w:pPr>
                    </w:p>
                    <w:tbl>
                      <w:tblPr>
                        <w:tblStyle w:val="9"/>
                        <w:tblW w:w="9795" w:type="dxa"/>
                        <w:tblInd w:w="0" w:type="dxa"/>
                        <w:shd w:val="clear" w:color="auto" w:fill="auto"/>
                        <w:tblLayout w:type="fixed"/>
                        <w:tblCellMar>
                          <w:top w:w="0" w:type="dxa"/>
                          <w:left w:w="0" w:type="dxa"/>
                          <w:bottom w:w="0" w:type="dxa"/>
                          <w:right w:w="0" w:type="dxa"/>
                        </w:tblCellMar>
                      </w:tblPr>
                      <w:tblGrid>
                        <w:gridCol w:w="630"/>
                        <w:gridCol w:w="1605"/>
                        <w:gridCol w:w="1081"/>
                        <w:gridCol w:w="1500"/>
                        <w:gridCol w:w="1199"/>
                        <w:gridCol w:w="1260"/>
                        <w:gridCol w:w="1260"/>
                        <w:gridCol w:w="1260"/>
                      </w:tblGrid>
                      <w:tr>
                        <w:tblPrEx>
                          <w:tblCellMar>
                            <w:top w:w="0" w:type="dxa"/>
                            <w:left w:w="0" w:type="dxa"/>
                            <w:bottom w:w="0" w:type="dxa"/>
                            <w:right w:w="0" w:type="dxa"/>
                          </w:tblCellMar>
                        </w:tblPrEx>
                        <w:trPr>
                          <w:trHeight w:val="615" w:hRule="atLeast"/>
                        </w:trPr>
                        <w:tc>
                          <w:tcPr>
                            <w:tcW w:w="979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cs="宋体"/>
                                <w:b/>
                                <w:i w:val="0"/>
                                <w:color w:val="auto"/>
                                <w:kern w:val="0"/>
                                <w:sz w:val="36"/>
                                <w:szCs w:val="36"/>
                                <w:u w:val="none"/>
                                <w:lang w:val="en-US" w:eastAsia="zh-CN" w:bidi="ar"/>
                              </w:rPr>
                              <w:t>炼钢部电搅线圈维修</w:t>
                            </w:r>
                            <w:r>
                              <w:rPr>
                                <w:rFonts w:hint="eastAsia" w:ascii="宋体" w:hAnsi="宋体" w:eastAsia="宋体" w:cs="宋体"/>
                                <w:b/>
                                <w:i w:val="0"/>
                                <w:color w:val="auto"/>
                                <w:kern w:val="0"/>
                                <w:sz w:val="36"/>
                                <w:szCs w:val="36"/>
                                <w:u w:val="none"/>
                                <w:lang w:val="en-US" w:eastAsia="zh-CN" w:bidi="ar"/>
                              </w:rPr>
                              <w:t>报价表</w:t>
                            </w:r>
                          </w:p>
                        </w:tc>
                      </w:tr>
                      <w:tr>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kern w:val="0"/>
                                <w:sz w:val="22"/>
                                <w:szCs w:val="22"/>
                                <w:u w:val="none"/>
                                <w:lang w:val="en-US" w:eastAsia="zh-CN" w:bidi="ar"/>
                              </w:rPr>
                              <w:t>设备</w:t>
                            </w:r>
                            <w:r>
                              <w:rPr>
                                <w:rFonts w:hint="eastAsia" w:ascii="宋体" w:hAnsi="宋体" w:cs="宋体"/>
                                <w:i w:val="0"/>
                                <w:color w:val="auto"/>
                                <w:kern w:val="0"/>
                                <w:sz w:val="22"/>
                                <w:szCs w:val="22"/>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型号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报价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分项报价合计（元）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814" w:hRule="atLeast"/>
                        </w:trPr>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26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2连铸末端电搅线圈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DJFR-380C</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1台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2连铸首端电搅线圈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DJMR-570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bCs/>
                                <w:color w:val="auto"/>
                                <w:sz w:val="24"/>
                                <w:lang w:val="en-US" w:eastAsia="zh-CN"/>
                              </w:rPr>
                              <w:t>7</w:t>
                            </w:r>
                            <w:r>
                              <w:rPr>
                                <w:rFonts w:ascii="宋体" w:hAnsi="宋体"/>
                                <w:bCs/>
                                <w:color w:val="auto"/>
                                <w:sz w:val="24"/>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4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3连铸末端电搅线圈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DJFR-620C</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3台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11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3连铸首端电搅线圈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DJMR-830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ascii="宋体" w:hAnsi="宋体"/>
                                <w:bCs/>
                                <w:color w:val="auto"/>
                                <w:sz w:val="24"/>
                              </w:rPr>
                              <w:t>3台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720"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一次报价合计：</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元；</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报价金额大写：</w:t>
                            </w:r>
                          </w:p>
                        </w:tc>
                        <w:tc>
                          <w:tcPr>
                            <w:tcW w:w="11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税率：</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w:t>
                            </w:r>
                          </w:p>
                        </w:tc>
                        <w:tc>
                          <w:tcPr>
                            <w:tcW w:w="12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pPr>
                    </w:p>
                    <w:p/>
                    <w:p>
                      <w:pPr>
                        <w:pStyle w:val="2"/>
                      </w:pPr>
                    </w:p>
                    <w:p/>
                  </w:txbxContent>
                </v:textbox>
              </v:shape>
            </w:pict>
          </mc:Fallback>
        </mc:AlternateConten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ind w:left="0" w:leftChars="0" w:firstLine="0" w:firstLineChars="0"/>
        <w:rPr>
          <w:b/>
        </w:rPr>
      </w:pPr>
    </w:p>
    <w:p>
      <w:pPr>
        <w:tabs>
          <w:tab w:val="left" w:pos="720"/>
          <w:tab w:val="left" w:pos="7200"/>
        </w:tabs>
        <w:snapToGrid w:val="0"/>
        <w:spacing w:line="240" w:lineRule="atLeast"/>
        <w:rPr>
          <w:b/>
        </w:rPr>
      </w:pPr>
    </w:p>
    <w:p>
      <w:pPr>
        <w:pStyle w:val="2"/>
        <w:rPr>
          <w:b/>
        </w:rPr>
      </w:pPr>
    </w:p>
    <w:p>
      <w:pPr>
        <w:rPr>
          <w:b/>
        </w:rPr>
      </w:pPr>
    </w:p>
    <w:p>
      <w:pPr>
        <w:pStyle w:val="2"/>
        <w:rPr>
          <w:b/>
        </w:rPr>
      </w:pPr>
    </w:p>
    <w:p>
      <w:pPr>
        <w:rPr>
          <w:b/>
        </w:rPr>
      </w:pPr>
    </w:p>
    <w:p/>
    <w:p>
      <w:pPr>
        <w:pStyle w:val="2"/>
      </w:pPr>
    </w:p>
    <w:p/>
    <w:p>
      <w:pPr>
        <w:pStyle w:val="2"/>
      </w:pPr>
    </w:p>
    <w:p/>
    <w:p>
      <w:pPr>
        <w:pStyle w:val="2"/>
      </w:pPr>
      <w:bookmarkStart w:id="0" w:name="_GoBack"/>
      <w:bookmarkEnd w:id="0"/>
    </w:p>
    <w:p>
      <w:pPr>
        <w:pStyle w:val="2"/>
      </w:pPr>
    </w:p>
    <w:p/>
    <w:p>
      <w:pPr>
        <w:pStyle w:val="2"/>
      </w:pPr>
    </w:p>
    <w:p/>
    <w:p>
      <w:pPr>
        <w:pStyle w:val="2"/>
      </w:pPr>
    </w:p>
    <w:p/>
    <w:p>
      <w:pPr>
        <w:pStyle w:val="2"/>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35pt;margin-top:-11.6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发邮件至xiejinlin3@126.com</w:t>
      </w:r>
      <w:r>
        <w:rPr>
          <w:rFonts w:hint="eastAsia" w:ascii="仿宋_GB2312" w:eastAsia="仿宋_GB2312"/>
          <w:b/>
          <w:color w:val="0000FF"/>
          <w:sz w:val="28"/>
          <w:szCs w:val="28"/>
          <w:lang w:val="en-US" w:eastAsia="zh-CN"/>
        </w:rPr>
        <w:t>。</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right="3614"/>
        <w:jc w:val="both"/>
        <w:rPr>
          <w:rFonts w:hint="eastAsia"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26F1EC0"/>
    <w:rsid w:val="02714618"/>
    <w:rsid w:val="0359403E"/>
    <w:rsid w:val="03CA2D70"/>
    <w:rsid w:val="03E609B6"/>
    <w:rsid w:val="049F7266"/>
    <w:rsid w:val="05055DEC"/>
    <w:rsid w:val="05A1714E"/>
    <w:rsid w:val="06223459"/>
    <w:rsid w:val="078D31D6"/>
    <w:rsid w:val="08772F32"/>
    <w:rsid w:val="08830E09"/>
    <w:rsid w:val="08E5761C"/>
    <w:rsid w:val="08E753D4"/>
    <w:rsid w:val="090B706D"/>
    <w:rsid w:val="091E3FD2"/>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2A6559"/>
    <w:rsid w:val="104A7442"/>
    <w:rsid w:val="10A61D3E"/>
    <w:rsid w:val="11E2473B"/>
    <w:rsid w:val="123C2831"/>
    <w:rsid w:val="12BF60C9"/>
    <w:rsid w:val="12DA3ACE"/>
    <w:rsid w:val="13453294"/>
    <w:rsid w:val="13C96641"/>
    <w:rsid w:val="13CD2E06"/>
    <w:rsid w:val="140B7274"/>
    <w:rsid w:val="1410406F"/>
    <w:rsid w:val="14842D4B"/>
    <w:rsid w:val="1485679E"/>
    <w:rsid w:val="14C47DFB"/>
    <w:rsid w:val="14E63829"/>
    <w:rsid w:val="15033E01"/>
    <w:rsid w:val="153452FD"/>
    <w:rsid w:val="15510748"/>
    <w:rsid w:val="15852DCC"/>
    <w:rsid w:val="16194009"/>
    <w:rsid w:val="164104C8"/>
    <w:rsid w:val="16AF0386"/>
    <w:rsid w:val="171C6697"/>
    <w:rsid w:val="17A47DC6"/>
    <w:rsid w:val="17D57CB5"/>
    <w:rsid w:val="17F201CC"/>
    <w:rsid w:val="18285AE9"/>
    <w:rsid w:val="18590675"/>
    <w:rsid w:val="18860A73"/>
    <w:rsid w:val="18CB096F"/>
    <w:rsid w:val="191276F1"/>
    <w:rsid w:val="19A40C16"/>
    <w:rsid w:val="1A491240"/>
    <w:rsid w:val="1A6E6EF3"/>
    <w:rsid w:val="1A722489"/>
    <w:rsid w:val="1ACF266A"/>
    <w:rsid w:val="1B727C38"/>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F46B06"/>
    <w:rsid w:val="29F91800"/>
    <w:rsid w:val="2A815E5E"/>
    <w:rsid w:val="2A8C390C"/>
    <w:rsid w:val="2B793E86"/>
    <w:rsid w:val="2B9E6661"/>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3D9448D"/>
    <w:rsid w:val="342771D5"/>
    <w:rsid w:val="34BF11CB"/>
    <w:rsid w:val="35FF4D01"/>
    <w:rsid w:val="36363A60"/>
    <w:rsid w:val="366D00F1"/>
    <w:rsid w:val="37232FDA"/>
    <w:rsid w:val="389B6B59"/>
    <w:rsid w:val="38DD474A"/>
    <w:rsid w:val="3AF836DB"/>
    <w:rsid w:val="3B79579C"/>
    <w:rsid w:val="3B95751B"/>
    <w:rsid w:val="3BA87B84"/>
    <w:rsid w:val="3BBC7E07"/>
    <w:rsid w:val="3FD61736"/>
    <w:rsid w:val="3FE12F42"/>
    <w:rsid w:val="403D7860"/>
    <w:rsid w:val="41761474"/>
    <w:rsid w:val="41EF7E88"/>
    <w:rsid w:val="42616A08"/>
    <w:rsid w:val="42FC01EE"/>
    <w:rsid w:val="4306178B"/>
    <w:rsid w:val="434847B1"/>
    <w:rsid w:val="437E1B5F"/>
    <w:rsid w:val="43834BB1"/>
    <w:rsid w:val="44115275"/>
    <w:rsid w:val="445E33D2"/>
    <w:rsid w:val="44D90ED7"/>
    <w:rsid w:val="44E16AC9"/>
    <w:rsid w:val="45982D2E"/>
    <w:rsid w:val="45C50135"/>
    <w:rsid w:val="463C43C1"/>
    <w:rsid w:val="465156FA"/>
    <w:rsid w:val="46763632"/>
    <w:rsid w:val="46864C98"/>
    <w:rsid w:val="47A877F1"/>
    <w:rsid w:val="47F646ED"/>
    <w:rsid w:val="48333AA2"/>
    <w:rsid w:val="484E7674"/>
    <w:rsid w:val="485B666D"/>
    <w:rsid w:val="49413915"/>
    <w:rsid w:val="498450E0"/>
    <w:rsid w:val="4A894820"/>
    <w:rsid w:val="4AE32B65"/>
    <w:rsid w:val="4B5A32B7"/>
    <w:rsid w:val="4C0E0DDD"/>
    <w:rsid w:val="4C1075C9"/>
    <w:rsid w:val="4C2819A0"/>
    <w:rsid w:val="4C2B4433"/>
    <w:rsid w:val="4D630F73"/>
    <w:rsid w:val="4E330062"/>
    <w:rsid w:val="4E933866"/>
    <w:rsid w:val="4ECE3A1F"/>
    <w:rsid w:val="51281503"/>
    <w:rsid w:val="512E21B9"/>
    <w:rsid w:val="515A6EC2"/>
    <w:rsid w:val="528E627F"/>
    <w:rsid w:val="53FD53B4"/>
    <w:rsid w:val="54015272"/>
    <w:rsid w:val="54065380"/>
    <w:rsid w:val="556F09F4"/>
    <w:rsid w:val="55AF62E4"/>
    <w:rsid w:val="56B45E5E"/>
    <w:rsid w:val="56C25E8F"/>
    <w:rsid w:val="57142BEB"/>
    <w:rsid w:val="57242DF9"/>
    <w:rsid w:val="57F7037F"/>
    <w:rsid w:val="587765FD"/>
    <w:rsid w:val="58A25F92"/>
    <w:rsid w:val="595D3CE6"/>
    <w:rsid w:val="59CB76E9"/>
    <w:rsid w:val="59CD70F7"/>
    <w:rsid w:val="59CE448C"/>
    <w:rsid w:val="59F76C1F"/>
    <w:rsid w:val="5A3E0903"/>
    <w:rsid w:val="5A7A341B"/>
    <w:rsid w:val="5A7B6332"/>
    <w:rsid w:val="5D0A43B3"/>
    <w:rsid w:val="5D956282"/>
    <w:rsid w:val="5E0A70BC"/>
    <w:rsid w:val="5ED33E51"/>
    <w:rsid w:val="5F1464C5"/>
    <w:rsid w:val="612D253D"/>
    <w:rsid w:val="62DB6FA0"/>
    <w:rsid w:val="62E06CCD"/>
    <w:rsid w:val="62EA534E"/>
    <w:rsid w:val="630374E0"/>
    <w:rsid w:val="644259B2"/>
    <w:rsid w:val="64A63A0B"/>
    <w:rsid w:val="64F05C4C"/>
    <w:rsid w:val="652E5B69"/>
    <w:rsid w:val="65327054"/>
    <w:rsid w:val="65560384"/>
    <w:rsid w:val="65631E97"/>
    <w:rsid w:val="65633E99"/>
    <w:rsid w:val="65734A98"/>
    <w:rsid w:val="658D42FA"/>
    <w:rsid w:val="66EB5CF6"/>
    <w:rsid w:val="672B2DB9"/>
    <w:rsid w:val="673719E9"/>
    <w:rsid w:val="676141A1"/>
    <w:rsid w:val="678E2DE0"/>
    <w:rsid w:val="68242302"/>
    <w:rsid w:val="6828533C"/>
    <w:rsid w:val="68382F15"/>
    <w:rsid w:val="68DB0209"/>
    <w:rsid w:val="69B4744D"/>
    <w:rsid w:val="69DF509C"/>
    <w:rsid w:val="6A756D57"/>
    <w:rsid w:val="6AA71FE5"/>
    <w:rsid w:val="6AA942DD"/>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22B2CA3"/>
    <w:rsid w:val="737E26B8"/>
    <w:rsid w:val="74ED4BCF"/>
    <w:rsid w:val="75873776"/>
    <w:rsid w:val="75E23E95"/>
    <w:rsid w:val="76EC3DC3"/>
    <w:rsid w:val="76F81603"/>
    <w:rsid w:val="772D334F"/>
    <w:rsid w:val="77BF3A5A"/>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character" w:customStyle="1" w:styleId="16">
    <w:name w:val="font11"/>
    <w:basedOn w:val="11"/>
    <w:qFormat/>
    <w:uiPriority w:val="0"/>
    <w:rPr>
      <w:rFonts w:hint="eastAsia" w:ascii="宋体" w:hAnsi="宋体" w:eastAsia="宋体" w:cs="宋体"/>
      <w:color w:val="000000"/>
      <w:sz w:val="22"/>
      <w:szCs w:val="22"/>
      <w:u w:val="none"/>
    </w:rPr>
  </w:style>
  <w:style w:type="character" w:customStyle="1" w:styleId="17">
    <w:name w:val="font01"/>
    <w:basedOn w:val="1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2021-08-05T11:26:19Z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6CCE958BA6F34CDA828CD483BA033887</vt:lpwstr>
  </property>
</Properties>
</file>