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36"/>
          <w:szCs w:val="36"/>
          <w:lang w:val="en-US" w:eastAsia="zh-CN"/>
        </w:rPr>
      </w:pPr>
      <w:r>
        <w:rPr>
          <w:rFonts w:hint="eastAsia" w:ascii="宋体" w:hAnsi="宋体"/>
          <w:b/>
          <w:sz w:val="36"/>
          <w:szCs w:val="36"/>
        </w:rPr>
        <w:t>芜湖新兴</w:t>
      </w:r>
      <w:r>
        <w:rPr>
          <w:rFonts w:hint="eastAsia" w:ascii="宋体" w:hAnsi="宋体"/>
          <w:b/>
          <w:sz w:val="36"/>
          <w:szCs w:val="36"/>
          <w:lang w:val="en-US" w:eastAsia="zh-CN"/>
        </w:rPr>
        <w:t>轧钢部B线系统升级改造</w:t>
      </w:r>
    </w:p>
    <w:p>
      <w:pPr>
        <w:jc w:val="center"/>
        <w:rPr>
          <w:rFonts w:hint="eastAsia" w:ascii="宋体" w:hAnsi="宋体"/>
          <w:b/>
          <w:sz w:val="36"/>
          <w:szCs w:val="36"/>
        </w:rPr>
      </w:pPr>
      <w:r>
        <w:rPr>
          <w:rFonts w:hint="eastAsia" w:ascii="宋体" w:hAnsi="宋体"/>
          <w:b/>
          <w:sz w:val="36"/>
          <w:szCs w:val="36"/>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09</w:t>
      </w:r>
      <w:r>
        <w:rPr>
          <w:rFonts w:ascii="宋体" w:hAnsi="宋体"/>
          <w:color w:val="000000"/>
          <w:sz w:val="24"/>
          <w:szCs w:val="24"/>
        </w:rPr>
        <w:t>月</w:t>
      </w:r>
      <w:r>
        <w:rPr>
          <w:rFonts w:hint="eastAsia" w:ascii="宋体" w:hAnsi="宋体"/>
          <w:color w:val="000000"/>
          <w:sz w:val="24"/>
          <w:szCs w:val="24"/>
          <w:lang w:val="en-US" w:eastAsia="zh-CN"/>
        </w:rPr>
        <w:t>29</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XZGB</w:t>
      </w:r>
      <w:r>
        <w:rPr>
          <w:rFonts w:hint="eastAsia" w:ascii="宋体" w:hAnsi="宋体" w:cs="宋体"/>
          <w:sz w:val="24"/>
          <w:szCs w:val="24"/>
        </w:rPr>
        <w:t>20</w:t>
      </w:r>
      <w:r>
        <w:rPr>
          <w:rFonts w:hint="eastAsia" w:ascii="宋体" w:hAnsi="宋体" w:cs="宋体"/>
          <w:sz w:val="24"/>
          <w:szCs w:val="24"/>
          <w:lang w:val="en-US" w:eastAsia="zh-CN"/>
        </w:rPr>
        <w:t>211003BXXTSJ</w:t>
      </w:r>
      <w:bookmarkStart w:id="0" w:name="_GoBack"/>
      <w:bookmarkEnd w:id="0"/>
      <w:r>
        <w:rPr>
          <w:rFonts w:hint="eastAsia" w:ascii="宋体" w:hAnsi="宋体" w:cs="宋体"/>
          <w:sz w:val="24"/>
          <w:szCs w:val="24"/>
          <w:lang w:val="en-US" w:eastAsia="zh-CN"/>
        </w:rPr>
        <w:t>GZ</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仿宋_GB2312" w:hAnsi="仿宋_GB2312" w:eastAsia="仿宋_GB2312" w:cs="仿宋_GB2312"/>
          <w:color w:val="FF0000"/>
          <w:sz w:val="24"/>
          <w:szCs w:val="22"/>
          <w:u w:val="none"/>
          <w:lang w:eastAsia="zh-CN"/>
        </w:rPr>
        <w:t>轧钢部B线系统升级改造</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29</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12</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w:t>
      </w:r>
      <w:r>
        <w:rPr>
          <w:rFonts w:hint="eastAsia" w:ascii="宋体" w:hAnsi="宋体" w:eastAsiaTheme="minorEastAsia" w:cstheme="minorBidi"/>
          <w:bCs/>
          <w:color w:val="FF0000"/>
          <w:sz w:val="24"/>
          <w:szCs w:val="24"/>
          <w:lang w:val="en-US" w:eastAsia="zh-CN"/>
        </w:rPr>
        <w:t>6</w:t>
      </w:r>
      <w:r>
        <w:rPr>
          <w:rFonts w:hint="eastAsia" w:ascii="宋体" w:hAnsi="宋体" w:eastAsiaTheme="minorEastAsia" w:cstheme="minorBidi"/>
          <w:bCs/>
          <w:color w:val="FF0000"/>
          <w:sz w:val="24"/>
          <w:szCs w:val="24"/>
        </w:rPr>
        <w:t>:</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15</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w:t>
      </w:r>
      <w:r>
        <w:rPr>
          <w:rFonts w:hint="eastAsia" w:ascii="宋体" w:hAnsi="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仿宋_GB2312" w:hAnsi="仿宋_GB2312" w:eastAsia="仿宋_GB2312" w:cs="仿宋_GB2312"/>
          <w:color w:val="FF0000"/>
          <w:sz w:val="24"/>
          <w:szCs w:val="22"/>
          <w:u w:val="none"/>
          <w:lang w:eastAsia="zh-CN"/>
        </w:rPr>
        <w:t>轧钢部B线系统升级改造</w:t>
      </w:r>
      <w:r>
        <w:rPr>
          <w:rFonts w:hint="eastAsia" w:ascii="仿宋_GB2312" w:hAnsi="仿宋_GB2312" w:eastAsia="仿宋_GB2312" w:cs="仿宋_GB2312"/>
          <w:color w:val="FF0000"/>
          <w:sz w:val="24"/>
          <w:szCs w:val="22"/>
          <w:u w:val="none"/>
        </w:rPr>
        <w:t xml:space="preserve"> </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ind w:left="638" w:leftChars="304"/>
        <w:rPr>
          <w:rFonts w:hint="eastAsia" w:ascii="宋体" w:hAnsi="宋体"/>
          <w:sz w:val="24"/>
          <w:szCs w:val="24"/>
        </w:rPr>
      </w:pPr>
      <w:r>
        <w:rPr>
          <w:rFonts w:hint="eastAsia" w:ascii="宋体" w:hAnsi="宋体"/>
          <w:sz w:val="24"/>
          <w:szCs w:val="24"/>
        </w:rPr>
        <w:t>项目业务内容</w:t>
      </w:r>
      <w:r>
        <w:rPr>
          <w:rFonts w:hint="eastAsia" w:ascii="宋体" w:hAnsi="宋体"/>
          <w:sz w:val="24"/>
          <w:szCs w:val="24"/>
          <w:lang w:eastAsia="zh-CN"/>
        </w:rPr>
        <w:t>及概况</w:t>
      </w:r>
      <w:r>
        <w:rPr>
          <w:rFonts w:hint="eastAsia" w:ascii="宋体" w:hAnsi="宋体"/>
          <w:sz w:val="24"/>
          <w:szCs w:val="24"/>
        </w:rPr>
        <w:t>:</w:t>
      </w:r>
    </w:p>
    <w:p>
      <w:pPr>
        <w:numPr>
          <w:numId w:val="0"/>
        </w:numPr>
        <w:spacing w:line="240" w:lineRule="atLeast"/>
        <w:rPr>
          <w:rFonts w:hint="eastAsia"/>
          <w:color w:val="auto"/>
          <w:lang w:val="en-US" w:eastAsia="zh-CN"/>
        </w:rPr>
      </w:pPr>
      <w:r>
        <w:rPr>
          <w:rFonts w:hint="eastAsia" w:ascii="仿宋_GB2312" w:hAnsi="仿宋_GB2312" w:eastAsia="仿宋_GB2312" w:cs="仿宋_GB2312"/>
          <w:color w:val="FF0000"/>
          <w:sz w:val="24"/>
          <w:szCs w:val="22"/>
          <w:u w:val="none"/>
          <w:lang w:val="en-US" w:eastAsia="zh-CN"/>
        </w:rPr>
        <w:t xml:space="preserve">     </w:t>
      </w:r>
      <w:r>
        <w:rPr>
          <w:rFonts w:hint="eastAsia" w:ascii="仿宋_GB2312" w:hAnsi="仿宋_GB2312" w:eastAsia="仿宋_GB2312" w:cs="仿宋_GB2312"/>
          <w:color w:val="FF0000"/>
          <w:sz w:val="24"/>
          <w:szCs w:val="22"/>
          <w:u w:val="none"/>
          <w:lang w:eastAsia="zh-CN"/>
        </w:rPr>
        <w:t>轧钢部B线系统升级改造</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轧钢部</w:t>
      </w:r>
      <w:r>
        <w:rPr>
          <w:rFonts w:hint="default" w:ascii="宋体" w:hAnsi="宋体" w:eastAsia="宋体" w:cs="宋体"/>
          <w:bCs/>
          <w:color w:val="2A2A2A"/>
          <w:kern w:val="0"/>
          <w:sz w:val="24"/>
          <w:szCs w:val="24"/>
          <w:lang w:val="en-US" w:eastAsia="zh-CN"/>
        </w:rPr>
        <w:t>B线系统在2012年投入使用，至今使用已有近10年时间，经过多年不间断的运行，一</w:t>
      </w:r>
      <w:r>
        <w:rPr>
          <w:rFonts w:hint="default" w:ascii="宋体" w:hAnsi="宋体" w:eastAsia="宋体" w:cs="宋体"/>
          <w:bCs/>
          <w:color w:val="auto"/>
          <w:kern w:val="0"/>
          <w:sz w:val="24"/>
          <w:szCs w:val="24"/>
          <w:lang w:val="en-US" w:eastAsia="zh-CN"/>
        </w:rPr>
        <w:t>些软件和硬件凸显出很多问题；如电脑系统陈旧，运行可靠性差，重启时间长；服务器主机硬盘和内存小，数据存储空间18个月就占满了。CPU416和编程软件PCS7 7.0为2010年前的主流设备和控制系统，经过10多年的发展，主机硬件早已淘</w:t>
      </w:r>
      <w:r>
        <w:rPr>
          <w:rFonts w:hint="default" w:ascii="宋体" w:hAnsi="宋体" w:eastAsia="宋体" w:cs="宋体"/>
          <w:bCs/>
          <w:color w:val="2A2A2A"/>
          <w:kern w:val="0"/>
          <w:sz w:val="24"/>
          <w:szCs w:val="24"/>
          <w:lang w:val="en-US" w:eastAsia="zh-CN"/>
        </w:rPr>
        <w:t>汰，所需备件CPU416在当今市场很难购买到，根本不能满足现状的生产需要</w:t>
      </w:r>
      <w:r>
        <w:rPr>
          <w:rFonts w:hint="eastAsia" w:ascii="宋体" w:hAnsi="宋体" w:eastAsia="宋体" w:cs="宋体"/>
          <w:bCs/>
          <w:color w:val="2A2A2A"/>
          <w:kern w:val="0"/>
          <w:sz w:val="24"/>
          <w:szCs w:val="24"/>
          <w:lang w:val="en-US" w:eastAsia="zh-CN"/>
        </w:rPr>
        <w:t>，需升级改造</w:t>
      </w:r>
      <w:r>
        <w:rPr>
          <w:rFonts w:hint="default" w:ascii="宋体" w:hAnsi="宋体" w:eastAsia="宋体" w:cs="宋体"/>
          <w:bCs/>
          <w:color w:val="2A2A2A"/>
          <w:kern w:val="0"/>
          <w:sz w:val="24"/>
          <w:szCs w:val="24"/>
          <w:lang w:val="en-US" w:eastAsia="zh-CN"/>
        </w:rPr>
        <w:t>。</w:t>
      </w:r>
      <w:r>
        <w:rPr>
          <w:rFonts w:hint="eastAsia" w:ascii="宋体" w:hAnsi="宋体" w:eastAsia="宋体" w:cs="宋体"/>
          <w:bCs/>
          <w:color w:val="2A2A2A"/>
          <w:kern w:val="0"/>
          <w:sz w:val="24"/>
          <w:szCs w:val="24"/>
          <w:lang w:eastAsia="zh-CN"/>
        </w:rPr>
        <w:t>）</w:t>
      </w:r>
    </w:p>
    <w:p>
      <w:pPr>
        <w:pStyle w:val="8"/>
        <w:shd w:val="clear" w:color="auto" w:fill="FFFFFF"/>
        <w:ind w:firstLine="480" w:firstLineChars="200"/>
        <w:rPr>
          <w:b w:val="0"/>
          <w:bCs w:val="0"/>
          <w:color w:val="FF0000"/>
          <w:szCs w:val="24"/>
        </w:rPr>
      </w:pPr>
      <w:r>
        <w:rPr>
          <w:rFonts w:hint="eastAsia"/>
          <w:b w:val="0"/>
          <w:bCs w:val="0"/>
          <w:szCs w:val="24"/>
        </w:rPr>
        <w:t>联系人及电话：</w:t>
      </w:r>
    </w:p>
    <w:p>
      <w:pPr>
        <w:ind w:firstLine="600" w:firstLineChars="250"/>
        <w:rPr>
          <w:rFonts w:hint="default" w:ascii="宋体" w:hAnsi="宋体"/>
          <w:b w:val="0"/>
          <w:bCs w:val="0"/>
          <w:sz w:val="24"/>
          <w:szCs w:val="24"/>
          <w:lang w:val="en-US" w:eastAsia="zh-CN"/>
        </w:rPr>
      </w:pPr>
      <w:r>
        <w:rPr>
          <w:rFonts w:hint="eastAsia" w:ascii="宋体" w:hAnsi="宋体"/>
          <w:b w:val="0"/>
          <w:bCs w:val="0"/>
          <w:sz w:val="24"/>
          <w:szCs w:val="24"/>
        </w:rPr>
        <w:t xml:space="preserve">招标办：     </w:t>
      </w:r>
      <w:r>
        <w:rPr>
          <w:rFonts w:hint="eastAsia" w:ascii="宋体" w:hAnsi="宋体"/>
          <w:b w:val="0"/>
          <w:bCs w:val="0"/>
          <w:sz w:val="24"/>
          <w:szCs w:val="24"/>
          <w:lang w:val="en-US" w:eastAsia="zh-CN"/>
        </w:rPr>
        <w:t xml:space="preserve">  </w:t>
      </w:r>
      <w:r>
        <w:rPr>
          <w:rFonts w:hint="eastAsia" w:ascii="宋体" w:hAnsi="宋体"/>
          <w:b w:val="0"/>
          <w:bCs w:val="0"/>
          <w:sz w:val="24"/>
          <w:szCs w:val="24"/>
        </w:rPr>
        <w:t xml:space="preserve"> </w:t>
      </w:r>
      <w:r>
        <w:rPr>
          <w:rFonts w:hint="eastAsia" w:ascii="宋体" w:hAnsi="宋体"/>
          <w:b w:val="0"/>
          <w:bCs w:val="0"/>
          <w:sz w:val="24"/>
          <w:szCs w:val="24"/>
          <w:lang w:eastAsia="zh-CN"/>
        </w:rPr>
        <w:t>谢</w:t>
      </w:r>
      <w:r>
        <w:rPr>
          <w:rFonts w:hint="eastAsia" w:ascii="宋体" w:hAnsi="宋体"/>
          <w:b w:val="0"/>
          <w:bCs w:val="0"/>
          <w:sz w:val="24"/>
          <w:szCs w:val="24"/>
        </w:rPr>
        <w:t xml:space="preserve">  工   18055375917</w:t>
      </w:r>
    </w:p>
    <w:p>
      <w:pPr>
        <w:ind w:firstLine="600" w:firstLineChars="250"/>
        <w:rPr>
          <w:rFonts w:hint="default" w:ascii="宋体" w:hAnsi="宋体"/>
          <w:b w:val="0"/>
          <w:bCs w:val="0"/>
          <w:sz w:val="24"/>
          <w:szCs w:val="24"/>
          <w:lang w:val="en-US" w:eastAsia="zh-CN"/>
        </w:rPr>
      </w:pPr>
      <w:r>
        <w:rPr>
          <w:rFonts w:hint="eastAsia" w:ascii="宋体" w:hAnsi="宋体"/>
          <w:b w:val="0"/>
          <w:bCs w:val="0"/>
          <w:sz w:val="24"/>
          <w:szCs w:val="24"/>
        </w:rPr>
        <w:t xml:space="preserve">生产管理部：    </w:t>
      </w:r>
      <w:r>
        <w:rPr>
          <w:rFonts w:hint="eastAsia" w:ascii="宋体" w:hAnsi="宋体"/>
          <w:b w:val="0"/>
          <w:bCs w:val="0"/>
          <w:sz w:val="24"/>
          <w:szCs w:val="24"/>
          <w:lang w:val="en-US" w:eastAsia="zh-CN"/>
        </w:rPr>
        <w:t>许</w:t>
      </w:r>
      <w:r>
        <w:rPr>
          <w:rFonts w:hint="eastAsia" w:ascii="宋体" w:hAnsi="宋体"/>
          <w:b w:val="0"/>
          <w:bCs w:val="0"/>
          <w:sz w:val="24"/>
          <w:szCs w:val="24"/>
        </w:rPr>
        <w:t xml:space="preserve">  工</w:t>
      </w:r>
      <w:r>
        <w:rPr>
          <w:rFonts w:hint="eastAsia" w:ascii="宋体" w:hAnsi="宋体"/>
          <w:b w:val="0"/>
          <w:bCs w:val="0"/>
          <w:sz w:val="24"/>
          <w:szCs w:val="24"/>
          <w:lang w:val="en-US" w:eastAsia="zh-CN"/>
        </w:rPr>
        <w:t xml:space="preserve">   15255307938</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b w:val="0"/>
          <w:bCs w:val="0"/>
          <w:sz w:val="24"/>
          <w:szCs w:val="24"/>
          <w:lang w:val="en-US" w:eastAsia="zh-CN"/>
        </w:rPr>
      </w:pPr>
      <w:r>
        <w:rPr>
          <w:rFonts w:hint="eastAsia"/>
          <w:b w:val="0"/>
          <w:bCs w:val="0"/>
          <w:sz w:val="24"/>
          <w:szCs w:val="24"/>
          <w:lang w:val="en-US" w:eastAsia="zh-CN"/>
        </w:rPr>
        <w:t xml:space="preserve"> </w:t>
      </w:r>
      <w:r>
        <w:rPr>
          <w:rFonts w:hint="eastAsia" w:ascii="宋体" w:hAnsi="宋体" w:eastAsia="宋体" w:cs="Times New Roman"/>
          <w:b w:val="0"/>
          <w:bCs w:val="0"/>
          <w:kern w:val="2"/>
          <w:sz w:val="24"/>
          <w:szCs w:val="24"/>
          <w:lang w:val="en-US" w:eastAsia="zh-CN" w:bidi="ar-SA"/>
        </w:rPr>
        <w:t xml:space="preserve">  </w:t>
      </w:r>
      <w:r>
        <w:rPr>
          <w:rFonts w:hint="eastAsia" w:cs="Times New Roman"/>
          <w:b w:val="0"/>
          <w:bCs w:val="0"/>
          <w:kern w:val="2"/>
          <w:sz w:val="24"/>
          <w:szCs w:val="24"/>
          <w:lang w:val="en-US" w:eastAsia="zh-CN" w:bidi="ar-SA"/>
        </w:rPr>
        <w:t xml:space="preserve"> 轧钢</w:t>
      </w:r>
      <w:r>
        <w:rPr>
          <w:rFonts w:hint="eastAsia" w:ascii="宋体" w:hAnsi="宋体"/>
          <w:b w:val="0"/>
          <w:bCs w:val="0"/>
          <w:sz w:val="24"/>
          <w:szCs w:val="24"/>
        </w:rPr>
        <w:t>部：</w:t>
      </w:r>
      <w:r>
        <w:rPr>
          <w:rFonts w:hint="eastAsia"/>
          <w:b w:val="0"/>
          <w:bCs w:val="0"/>
          <w:sz w:val="24"/>
          <w:szCs w:val="24"/>
          <w:lang w:val="en-US" w:eastAsia="zh-CN"/>
        </w:rPr>
        <w:t xml:space="preserve">     </w:t>
      </w:r>
      <w:r>
        <w:rPr>
          <w:rFonts w:hint="eastAsia" w:ascii="宋体" w:hAnsi="宋体"/>
          <w:b w:val="0"/>
          <w:bCs w:val="0"/>
          <w:sz w:val="24"/>
          <w:szCs w:val="24"/>
        </w:rPr>
        <w:t xml:space="preserve">   </w:t>
      </w:r>
      <w:r>
        <w:rPr>
          <w:rFonts w:hint="eastAsia"/>
          <w:b w:val="0"/>
          <w:bCs w:val="0"/>
          <w:sz w:val="24"/>
          <w:szCs w:val="24"/>
          <w:lang w:eastAsia="zh-CN"/>
        </w:rPr>
        <w:t>贺</w:t>
      </w:r>
      <w:r>
        <w:rPr>
          <w:rFonts w:hint="eastAsia" w:ascii="宋体" w:hAnsi="宋体"/>
          <w:b w:val="0"/>
          <w:bCs w:val="0"/>
          <w:sz w:val="24"/>
          <w:szCs w:val="24"/>
        </w:rPr>
        <w:t xml:space="preserve">  工</w:t>
      </w:r>
      <w:r>
        <w:rPr>
          <w:rFonts w:hint="eastAsia" w:ascii="宋体" w:hAnsi="宋体"/>
          <w:b w:val="0"/>
          <w:bCs w:val="0"/>
          <w:sz w:val="24"/>
          <w:szCs w:val="24"/>
          <w:lang w:val="en-US" w:eastAsia="zh-CN"/>
        </w:rPr>
        <w:t xml:space="preserve">   </w:t>
      </w:r>
      <w:r>
        <w:rPr>
          <w:rFonts w:hint="eastAsia"/>
          <w:b w:val="0"/>
          <w:bCs w:val="0"/>
          <w:sz w:val="24"/>
          <w:szCs w:val="24"/>
          <w:lang w:val="en-US" w:eastAsia="zh-CN"/>
        </w:rPr>
        <w:t>15055301710</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sz w:val="24"/>
          <w:szCs w:val="24"/>
          <w:lang w:val="en-US" w:eastAsia="zh-CN"/>
        </w:rPr>
      </w:pPr>
      <w:r>
        <w:rPr>
          <w:rFonts w:hint="eastAsia" w:ascii="宋体" w:hAnsi="宋体" w:eastAsia="宋体"/>
          <w:sz w:val="24"/>
          <w:szCs w:val="24"/>
        </w:rPr>
        <w:t>开 户 行：中国工商银行芜湖环城路支行</w:t>
      </w:r>
    </w:p>
    <w:p>
      <w:pPr>
        <w:ind w:firstLine="1680" w:firstLineChars="700"/>
        <w:rPr>
          <w:rFonts w:hint="eastAsia" w:ascii="宋体" w:hAnsi="宋体" w:eastAsia="宋体"/>
          <w:sz w:val="24"/>
          <w:szCs w:val="24"/>
        </w:rPr>
      </w:pPr>
      <w:r>
        <w:rPr>
          <w:rFonts w:hint="eastAsia" w:ascii="宋体" w:hAnsi="宋体" w:eastAsia="宋体"/>
          <w:sz w:val="24"/>
          <w:szCs w:val="24"/>
        </w:rPr>
        <w:t>帐    号：1307023219000109264</w:t>
      </w:r>
    </w:p>
    <w:p>
      <w:pPr>
        <w:ind w:firstLine="1680" w:firstLineChars="700"/>
        <w:rPr>
          <w:rFonts w:hint="eastAsia" w:ascii="宋体" w:hAnsi="宋体" w:eastAsia="宋体"/>
          <w:sz w:val="24"/>
          <w:szCs w:val="24"/>
        </w:rPr>
      </w:pPr>
      <w:r>
        <w:rPr>
          <w:rFonts w:hint="eastAsia" w:ascii="宋体" w:hAnsi="宋体" w:eastAsia="宋体"/>
          <w:sz w:val="24"/>
          <w:szCs w:val="24"/>
        </w:rPr>
        <w:t>电    话：0553-5698</w:t>
      </w:r>
      <w:r>
        <w:rPr>
          <w:rFonts w:hint="eastAsia" w:ascii="宋体" w:hAnsi="宋体"/>
          <w:sz w:val="24"/>
          <w:szCs w:val="24"/>
          <w:lang w:val="en-US" w:eastAsia="zh-CN"/>
        </w:rPr>
        <w:t>553</w:t>
      </w:r>
      <w:r>
        <w:rPr>
          <w:rFonts w:hint="eastAsia" w:ascii="宋体" w:hAnsi="宋体" w:eastAsia="宋体"/>
          <w:sz w:val="24"/>
          <w:szCs w:val="24"/>
        </w:rPr>
        <w:t xml:space="preserve">                </w:t>
      </w:r>
    </w:p>
    <w:p>
      <w:pPr>
        <w:ind w:firstLine="1680" w:firstLineChars="700"/>
        <w:rPr>
          <w:rFonts w:hint="eastAsia" w:ascii="宋体" w:hAnsi="宋体" w:eastAsia="宋体"/>
          <w:sz w:val="24"/>
          <w:szCs w:val="24"/>
        </w:rPr>
      </w:pPr>
      <w:r>
        <w:rPr>
          <w:rFonts w:hint="eastAsia" w:ascii="宋体" w:hAnsi="宋体" w:eastAsia="宋体"/>
          <w:sz w:val="24"/>
          <w:szCs w:val="24"/>
        </w:rPr>
        <w:t xml:space="preserve">邮    编：241002                          </w:t>
      </w:r>
    </w:p>
    <w:p>
      <w:pPr>
        <w:ind w:firstLine="1680" w:firstLineChars="700"/>
        <w:rPr>
          <w:rFonts w:hint="eastAsia" w:ascii="宋体" w:hAnsi="宋体" w:eastAsia="宋体"/>
          <w:sz w:val="24"/>
          <w:szCs w:val="24"/>
        </w:rPr>
      </w:pPr>
      <w:r>
        <w:rPr>
          <w:rFonts w:hint="eastAsia" w:ascii="宋体" w:hAnsi="宋体" w:eastAsia="宋体"/>
          <w:sz w:val="24"/>
          <w:szCs w:val="24"/>
        </w:rPr>
        <w:t xml:space="preserve">联 系 人：谢金林            </w:t>
      </w:r>
    </w:p>
    <w:p>
      <w:pPr>
        <w:ind w:firstLine="1680" w:firstLineChars="700"/>
        <w:rPr>
          <w:rFonts w:hint="eastAsia" w:ascii="宋体" w:hAnsi="宋体" w:eastAsia="宋体"/>
          <w:sz w:val="24"/>
          <w:szCs w:val="24"/>
        </w:rPr>
      </w:pPr>
      <w:r>
        <w:rPr>
          <w:rFonts w:hint="eastAsia" w:ascii="宋体" w:hAnsi="宋体" w:eastAsia="宋体"/>
          <w:sz w:val="24"/>
          <w:szCs w:val="24"/>
        </w:rPr>
        <w:t>邮    箱：whxxzg001@qq.com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w:t>
      </w:r>
      <w:r>
        <w:rPr>
          <w:rFonts w:hint="eastAsia" w:ascii="宋体" w:hAnsi="宋体"/>
          <w:b/>
          <w:bCs/>
          <w:color w:val="4F81BD"/>
          <w:sz w:val="22"/>
          <w:szCs w:val="22"/>
          <w:lang w:val="en-US" w:eastAsia="zh-CN"/>
        </w:rPr>
        <w:t>2</w:t>
      </w:r>
      <w:r>
        <w:rPr>
          <w:rFonts w:hint="eastAsia" w:ascii="宋体" w:hAnsi="宋体"/>
          <w:b/>
          <w:bCs/>
          <w:color w:val="4F81BD"/>
          <w:sz w:val="22"/>
          <w:szCs w:val="22"/>
        </w:rPr>
        <w:t>：</w:t>
      </w:r>
      <w:r>
        <w:rPr>
          <w:rFonts w:hint="eastAsia" w:ascii="宋体" w:hAnsi="宋体"/>
          <w:b/>
          <w:bCs/>
          <w:color w:val="4F81BD"/>
          <w:sz w:val="22"/>
          <w:szCs w:val="22"/>
          <w:lang w:eastAsia="zh-CN"/>
        </w:rPr>
        <w:t>报价表</w:t>
      </w:r>
      <w:r>
        <w:rPr>
          <w:rFonts w:hint="eastAsia" w:ascii="宋体" w:hAnsi="宋体"/>
          <w:b/>
          <w:bCs/>
          <w:color w:val="4F81BD"/>
          <w:sz w:val="22"/>
          <w:szCs w:val="22"/>
        </w:rPr>
        <w:t>；</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w:t>
      </w:r>
      <w:r>
        <w:rPr>
          <w:rFonts w:hint="eastAsia" w:ascii="宋体" w:hAnsi="宋体"/>
          <w:b/>
          <w:bCs/>
          <w:color w:val="4F81BD"/>
          <w:sz w:val="22"/>
          <w:szCs w:val="22"/>
          <w:lang w:val="en-US" w:eastAsia="zh-CN"/>
        </w:rPr>
        <w:t>3</w:t>
      </w:r>
      <w:r>
        <w:rPr>
          <w:rFonts w:hint="eastAsia" w:ascii="宋体" w:hAnsi="宋体"/>
          <w:b/>
          <w:bCs/>
          <w:color w:val="4F81BD"/>
          <w:sz w:val="22"/>
          <w:szCs w:val="22"/>
        </w:rPr>
        <w:t>：投标报名申请函；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w:t>
      </w:r>
      <w:r>
        <w:rPr>
          <w:rFonts w:hint="eastAsia" w:ascii="宋体" w:hAnsi="宋体"/>
          <w:b/>
          <w:bCs/>
          <w:color w:val="4F81BD"/>
          <w:sz w:val="22"/>
          <w:szCs w:val="22"/>
          <w:lang w:val="en-US" w:eastAsia="zh-CN"/>
        </w:rPr>
        <w:t>4</w:t>
      </w:r>
      <w:r>
        <w:rPr>
          <w:rFonts w:hint="eastAsia" w:ascii="宋体" w:hAnsi="宋体"/>
          <w:b/>
          <w:bCs/>
          <w:color w:val="4F81BD"/>
          <w:sz w:val="22"/>
          <w:szCs w:val="22"/>
        </w:rPr>
        <w:t>：公平交易承诺函；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w:t>
      </w:r>
      <w:r>
        <w:rPr>
          <w:rFonts w:hint="eastAsia" w:ascii="宋体" w:hAnsi="宋体"/>
          <w:b/>
          <w:bCs/>
          <w:color w:val="4F81BD"/>
          <w:sz w:val="22"/>
          <w:szCs w:val="22"/>
          <w:lang w:val="en-US" w:eastAsia="zh-CN"/>
        </w:rPr>
        <w:t>5</w:t>
      </w:r>
      <w:r>
        <w:rPr>
          <w:rFonts w:hint="eastAsia" w:ascii="宋体" w:hAnsi="宋体"/>
          <w:b/>
          <w:bCs/>
          <w:color w:val="4F81BD"/>
          <w:sz w:val="22"/>
          <w:szCs w:val="22"/>
        </w:rPr>
        <w:t>：法人授权委托书；</w:t>
      </w:r>
    </w:p>
    <w:p>
      <w:pPr>
        <w:tabs>
          <w:tab w:val="left" w:pos="420"/>
          <w:tab w:val="left" w:pos="630"/>
        </w:tabs>
        <w:spacing w:line="300" w:lineRule="auto"/>
        <w:rPr>
          <w:rFonts w:hint="default" w:eastAsia="宋体"/>
          <w:lang w:val="en-US" w:eastAsia="zh-CN"/>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rPr>
          <w:rFonts w:hint="eastAsia" w:ascii="宋体" w:hAnsi="宋体" w:eastAsia="宋体" w:cs="宋体"/>
          <w:sz w:val="36"/>
        </w:rPr>
      </w:pPr>
    </w:p>
    <w:p>
      <w:pPr>
        <w:pStyle w:val="2"/>
        <w:rPr>
          <w:rFonts w:hint="eastAsia"/>
        </w:rPr>
      </w:pPr>
    </w:p>
    <w:p>
      <w:pPr>
        <w:pStyle w:val="2"/>
        <w:rPr>
          <w:rFonts w:hint="eastAsia" w:ascii="宋体" w:hAnsi="宋体" w:eastAsia="宋体" w:cs="宋体"/>
          <w:sz w:val="36"/>
        </w:rPr>
      </w:pPr>
    </w:p>
    <w:p>
      <w:pPr>
        <w:pStyle w:val="2"/>
        <w:rPr>
          <w:rFonts w:hint="eastAsia" w:ascii="宋体" w:hAnsi="宋体" w:eastAsia="宋体" w:cs="宋体"/>
          <w:sz w:val="36"/>
        </w:rPr>
      </w:pPr>
    </w:p>
    <w:p>
      <w:pPr>
        <w:rPr>
          <w:rFonts w:hint="eastAsia"/>
        </w:rPr>
      </w:pPr>
    </w:p>
    <w:p>
      <w:pPr>
        <w:pStyle w:val="2"/>
        <w:rPr>
          <w:rFonts w:hint="eastAsia" w:cs="宋体"/>
          <w:sz w:val="30"/>
          <w:szCs w:val="30"/>
          <w:lang w:eastAsia="zh-CN"/>
        </w:rPr>
      </w:pPr>
    </w:p>
    <w:p>
      <w:pPr>
        <w:pStyle w:val="2"/>
        <w:rPr>
          <w:rFonts w:hint="default" w:ascii="宋体" w:hAnsi="宋体" w:eastAsia="宋体" w:cs="宋体"/>
          <w:sz w:val="30"/>
          <w:szCs w:val="30"/>
          <w:lang w:val="en-US" w:eastAsia="zh-CN"/>
        </w:rPr>
      </w:pPr>
      <w:r>
        <w:rPr>
          <w:rFonts w:hint="eastAsia" w:cs="宋体"/>
          <w:sz w:val="30"/>
          <w:szCs w:val="30"/>
          <w:lang w:eastAsia="zh-CN"/>
        </w:rPr>
        <w:t>附件</w:t>
      </w:r>
      <w:r>
        <w:rPr>
          <w:rFonts w:hint="eastAsia" w:cs="宋体"/>
          <w:sz w:val="30"/>
          <w:szCs w:val="30"/>
          <w:lang w:val="en-US" w:eastAsia="zh-CN"/>
        </w:rPr>
        <w:t>1</w:t>
      </w: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壹</w:t>
      </w:r>
      <w:r>
        <w:rPr>
          <w:rFonts w:hint="eastAsia" w:ascii="宋体" w:hAnsi="宋体" w:eastAsia="宋体" w:cs="宋体"/>
          <w:b/>
          <w:bCs w:val="0"/>
          <w:color w:val="FF0000"/>
          <w:sz w:val="24"/>
          <w:szCs w:val="24"/>
          <w:u w:val="single"/>
          <w:lang w:val="en-US" w:eastAsia="zh-CN"/>
        </w:rPr>
        <w:t>万</w:t>
      </w:r>
      <w:r>
        <w:rPr>
          <w:rFonts w:hint="eastAsia" w:ascii="宋体" w:hAnsi="宋体" w:cs="宋体"/>
          <w:b/>
          <w:bCs w:val="0"/>
          <w:color w:val="FF0000"/>
          <w:sz w:val="24"/>
          <w:szCs w:val="24"/>
          <w:u w:val="single"/>
          <w:lang w:val="en-US" w:eastAsia="zh-CN"/>
        </w:rPr>
        <w:t>捌仟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cs="宋体"/>
          <w:bCs/>
          <w:color w:val="7030A0"/>
          <w:sz w:val="24"/>
          <w:szCs w:val="24"/>
          <w:lang w:val="en-US" w:eastAsia="zh-CN"/>
        </w:rPr>
        <w:t>10</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12</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w:t>
      </w:r>
      <w:r>
        <w:rPr>
          <w:rFonts w:hint="eastAsia" w:ascii="宋体" w:hAnsi="宋体" w:eastAsia="宋体"/>
          <w:sz w:val="24"/>
          <w:szCs w:val="24"/>
        </w:rPr>
        <w:t>中国工商银行芜湖环城路支行</w:t>
      </w:r>
    </w:p>
    <w:p>
      <w:pPr>
        <w:ind w:left="638" w:leftChars="304" w:firstLine="480" w:firstLineChars="200"/>
        <w:rPr>
          <w:rFonts w:hint="eastAsia" w:ascii="宋体" w:hAnsi="宋体" w:cs="宋体"/>
          <w:b/>
          <w:bCs w:val="0"/>
          <w:color w:val="FF0000"/>
          <w:sz w:val="24"/>
          <w:szCs w:val="24"/>
          <w:lang w:val="en-US" w:eastAsia="zh-CN"/>
        </w:rPr>
      </w:pPr>
      <w:r>
        <w:rPr>
          <w:rFonts w:hint="eastAsia" w:ascii="宋体" w:hAnsi="宋体" w:eastAsia="宋体" w:cs="宋体"/>
          <w:bCs/>
          <w:sz w:val="24"/>
          <w:szCs w:val="24"/>
        </w:rPr>
        <w:t>帐    号：1307023219000109264</w:t>
      </w:r>
      <w:r>
        <w:rPr>
          <w:rFonts w:hint="eastAsia" w:ascii="宋体" w:hAnsi="宋体" w:cs="宋体"/>
          <w:b/>
          <w:bCs w:val="0"/>
          <w:color w:val="FF0000"/>
          <w:sz w:val="24"/>
          <w:szCs w:val="24"/>
          <w:lang w:val="en-US" w:eastAsia="zh-CN"/>
        </w:rPr>
        <w:t xml:space="preserve"> </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十二、结算及付款</w:t>
      </w:r>
      <w:r>
        <w:rPr>
          <w:rFonts w:hint="eastAsia" w:ascii="宋体" w:hAnsi="宋体" w:eastAsia="宋体" w:cs="宋体"/>
          <w:b/>
          <w:color w:val="auto"/>
          <w:sz w:val="24"/>
          <w:szCs w:val="24"/>
          <w:lang w:val="en-US" w:eastAsia="zh-CN"/>
        </w:rPr>
        <w:t>指导</w:t>
      </w:r>
      <w:r>
        <w:rPr>
          <w:rFonts w:hint="eastAsia" w:ascii="宋体" w:hAnsi="宋体" w:eastAsia="宋体" w:cs="宋体"/>
          <w:b/>
          <w:color w:val="auto"/>
          <w:sz w:val="24"/>
          <w:szCs w:val="24"/>
        </w:rPr>
        <w:t>方式</w:t>
      </w:r>
    </w:p>
    <w:p>
      <w:pPr>
        <w:numPr>
          <w:ilvl w:val="0"/>
          <w:numId w:val="0"/>
        </w:numPr>
        <w:ind w:leftChars="303"/>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结算方式：承揽方维修结束，由发包方业主单位验收合格后，承揽方开具相应增值税专用发票；发票入账三个月付款</w:t>
      </w:r>
      <w:r>
        <w:rPr>
          <w:rFonts w:hint="eastAsia" w:ascii="宋体" w:hAnsi="宋体" w:cs="宋体"/>
          <w:bCs/>
          <w:color w:val="auto"/>
          <w:sz w:val="24"/>
          <w:szCs w:val="24"/>
          <w:lang w:val="en-US" w:eastAsia="zh-CN"/>
        </w:rPr>
        <w:t>9</w:t>
      </w:r>
      <w:r>
        <w:rPr>
          <w:rFonts w:hint="eastAsia" w:ascii="宋体" w:hAnsi="宋体" w:eastAsia="宋体" w:cs="宋体"/>
          <w:bCs/>
          <w:color w:val="auto"/>
          <w:sz w:val="24"/>
          <w:szCs w:val="24"/>
          <w:lang w:val="en-US" w:eastAsia="zh-CN"/>
        </w:rPr>
        <w:t>0%</w:t>
      </w:r>
      <w:r>
        <w:rPr>
          <w:rFonts w:hint="eastAsia" w:ascii="宋体" w:hAnsi="宋体" w:cs="宋体"/>
          <w:bCs/>
          <w:color w:val="auto"/>
          <w:sz w:val="24"/>
          <w:szCs w:val="24"/>
          <w:lang w:val="en-US" w:eastAsia="zh-CN"/>
        </w:rPr>
        <w:t>,10%质保金</w:t>
      </w:r>
      <w:r>
        <w:rPr>
          <w:rFonts w:hint="eastAsia" w:ascii="宋体" w:hAnsi="宋体" w:eastAsia="宋体" w:cs="宋体"/>
          <w:bCs/>
          <w:color w:val="auto"/>
          <w:sz w:val="24"/>
          <w:szCs w:val="24"/>
          <w:lang w:val="en-US" w:eastAsia="zh-CN"/>
        </w:rPr>
        <w:t>。付款方式，</w:t>
      </w:r>
      <w:r>
        <w:rPr>
          <w:rFonts w:hint="eastAsia" w:ascii="宋体" w:hAnsi="宋体" w:eastAsia="宋体" w:cs="宋体"/>
          <w:bCs/>
          <w:color w:val="auto"/>
          <w:sz w:val="24"/>
          <w:szCs w:val="24"/>
        </w:rPr>
        <w:t>2万元及以下电汇，2万以上付承兑汇票。</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十三、评标标准</w:t>
      </w:r>
    </w:p>
    <w:p>
      <w:pPr>
        <w:ind w:left="638" w:leftChars="304"/>
        <w:rPr>
          <w:rFonts w:hint="eastAsia" w:ascii="宋体" w:hAnsi="宋体" w:eastAsia="宋体" w:cs="宋体"/>
          <w:color w:val="auto"/>
          <w:sz w:val="24"/>
          <w:szCs w:val="24"/>
        </w:rPr>
      </w:pPr>
      <w:r>
        <w:rPr>
          <w:rFonts w:hint="eastAsia" w:ascii="宋体" w:hAnsi="宋体" w:eastAsia="宋体" w:cs="宋体"/>
          <w:color w:val="auto"/>
          <w:sz w:val="24"/>
          <w:szCs w:val="24"/>
        </w:rPr>
        <w:t>由评标委员会评分，按分数从高到低顺序推荐中标候选单位。</w:t>
      </w:r>
    </w:p>
    <w:p>
      <w:pPr>
        <w:ind w:left="638" w:leftChars="304"/>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本次采取综合评分方式进行评标。</w:t>
      </w:r>
    </w:p>
    <w:p>
      <w:pPr>
        <w:ind w:left="638" w:leftChars="304"/>
        <w:rPr>
          <w:rFonts w:hint="eastAsia" w:ascii="宋体" w:hAnsi="宋体" w:eastAsia="宋体" w:cs="宋体"/>
          <w:color w:val="auto"/>
          <w:sz w:val="24"/>
          <w:szCs w:val="24"/>
        </w:rPr>
      </w:pPr>
      <w:r>
        <w:rPr>
          <w:rFonts w:hint="eastAsia" w:ascii="宋体" w:hAnsi="宋体" w:eastAsia="宋体" w:cs="宋体"/>
          <w:color w:val="auto"/>
          <w:sz w:val="24"/>
          <w:szCs w:val="24"/>
        </w:rPr>
        <w:t>评分标准：价格</w:t>
      </w:r>
      <w:r>
        <w:rPr>
          <w:rFonts w:hint="eastAsia" w:ascii="宋体" w:hAnsi="宋体" w:cs="宋体"/>
          <w:color w:val="auto"/>
          <w:sz w:val="24"/>
          <w:szCs w:val="24"/>
          <w:lang w:val="en-US" w:eastAsia="zh-CN"/>
        </w:rPr>
        <w:t>60</w:t>
      </w:r>
      <w:r>
        <w:rPr>
          <w:rFonts w:hint="eastAsia" w:ascii="宋体" w:hAnsi="宋体" w:eastAsia="宋体" w:cs="宋体"/>
          <w:color w:val="auto"/>
          <w:sz w:val="24"/>
          <w:szCs w:val="24"/>
        </w:rPr>
        <w:t>分，质量</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分，资质、装备及工艺技术水平、业绩</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分，服务、工期及资金状况10分。</w:t>
      </w:r>
    </w:p>
    <w:p>
      <w:pPr>
        <w:numPr>
          <w:ilvl w:val="0"/>
          <w:numId w:val="6"/>
        </w:numPr>
        <w:rPr>
          <w:rFonts w:hint="eastAsia" w:ascii="宋体" w:hAnsi="宋体" w:eastAsia="宋体" w:cs="宋体"/>
          <w:b/>
          <w:color w:val="auto"/>
          <w:sz w:val="24"/>
          <w:szCs w:val="24"/>
        </w:rPr>
      </w:pPr>
      <w:r>
        <w:rPr>
          <w:rFonts w:hint="eastAsia" w:ascii="宋体" w:hAnsi="宋体" w:eastAsia="宋体" w:cs="宋体"/>
          <w:b/>
          <w:color w:val="auto"/>
          <w:sz w:val="24"/>
          <w:szCs w:val="24"/>
        </w:rPr>
        <w:t>其他要求</w:t>
      </w:r>
    </w:p>
    <w:p>
      <w:pPr>
        <w:numPr>
          <w:numId w:val="0"/>
        </w:numPr>
        <w:ind w:firstLine="482" w:firstLineChars="200"/>
        <w:rPr>
          <w:rFonts w:hint="eastAsia" w:ascii="宋体" w:hAnsi="宋体" w:eastAsia="宋体" w:cs="宋体"/>
          <w:b/>
          <w:color w:val="auto"/>
          <w:sz w:val="24"/>
          <w:szCs w:val="24"/>
        </w:rPr>
      </w:pPr>
      <w:r>
        <w:rPr>
          <w:rFonts w:hint="eastAsia" w:ascii="宋体" w:hAnsi="宋体" w:cs="宋体"/>
          <w:b/>
          <w:color w:val="auto"/>
          <w:sz w:val="24"/>
          <w:szCs w:val="24"/>
          <w:lang w:val="en-US" w:eastAsia="zh-CN"/>
        </w:rPr>
        <w:t xml:space="preserve">1.改造技术要求  </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r>
        <w:rPr>
          <w:rFonts w:hint="default" w:ascii="仿宋_GB2312" w:hAnsi="仿宋_GB2312" w:eastAsia="仿宋_GB2312" w:cs="仿宋_GB2312"/>
          <w:color w:val="000000"/>
          <w:sz w:val="24"/>
          <w:szCs w:val="24"/>
          <w:lang w:val="en-US" w:eastAsia="zh-CN"/>
        </w:rPr>
        <w:t>.1、两台服务器，使用windows server 2016 ，一用一备；</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r>
        <w:rPr>
          <w:rFonts w:hint="default" w:ascii="仿宋_GB2312" w:hAnsi="仿宋_GB2312" w:eastAsia="仿宋_GB2312" w:cs="仿宋_GB2312"/>
          <w:color w:val="000000"/>
          <w:sz w:val="24"/>
          <w:szCs w:val="24"/>
          <w:lang w:val="en-US" w:eastAsia="zh-CN"/>
        </w:rPr>
        <w:t>.2、提供1台工程师站，在线修改编译PLC程序，且修改上传HMI程序;</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r>
        <w:rPr>
          <w:rFonts w:hint="default" w:ascii="仿宋_GB2312" w:hAnsi="仿宋_GB2312" w:eastAsia="仿宋_GB2312" w:cs="仿宋_GB2312"/>
          <w:color w:val="000000"/>
          <w:sz w:val="24"/>
          <w:szCs w:val="24"/>
          <w:lang w:val="en-US" w:eastAsia="zh-CN"/>
        </w:rPr>
        <w:t>.3、6台客户端，在线运行，控制轧制线程;</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r>
        <w:rPr>
          <w:rFonts w:hint="default" w:ascii="仿宋_GB2312" w:hAnsi="仿宋_GB2312" w:eastAsia="仿宋_GB2312" w:cs="仿宋_GB2312"/>
          <w:color w:val="000000"/>
          <w:sz w:val="24"/>
          <w:szCs w:val="24"/>
          <w:lang w:val="en-US" w:eastAsia="zh-CN"/>
        </w:rPr>
        <w:t>.4、四个416CPU升级为最新版本，更新配置文件;</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r>
        <w:rPr>
          <w:rFonts w:hint="default" w:ascii="仿宋_GB2312" w:hAnsi="仿宋_GB2312" w:eastAsia="仿宋_GB2312" w:cs="仿宋_GB2312"/>
          <w:color w:val="000000"/>
          <w:sz w:val="24"/>
          <w:szCs w:val="24"/>
          <w:lang w:val="en-US" w:eastAsia="zh-CN"/>
        </w:rPr>
        <w:t>.5、上位客户端使用win10 中文操作系统，应用软件使用PCS7 V9.0；</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r>
        <w:rPr>
          <w:rFonts w:hint="default" w:ascii="仿宋_GB2312" w:hAnsi="仿宋_GB2312" w:eastAsia="仿宋_GB2312" w:cs="仿宋_GB2312"/>
          <w:color w:val="000000"/>
          <w:sz w:val="24"/>
          <w:szCs w:val="24"/>
          <w:lang w:val="en-US" w:eastAsia="zh-CN"/>
        </w:rPr>
        <w:t>.6、移植相应的库文件(原厂系统数据库结构保持不变)；</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r>
        <w:rPr>
          <w:rFonts w:hint="default" w:ascii="仿宋_GB2312" w:hAnsi="仿宋_GB2312" w:eastAsia="仿宋_GB2312" w:cs="仿宋_GB2312"/>
          <w:color w:val="000000"/>
          <w:sz w:val="24"/>
          <w:szCs w:val="24"/>
          <w:lang w:val="en-US" w:eastAsia="zh-CN"/>
        </w:rPr>
        <w:t>.7、参数匹配或是升级/性能符合轧线及摩根包原始设计；</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r>
        <w:rPr>
          <w:rFonts w:hint="default" w:ascii="仿宋_GB2312" w:hAnsi="仿宋_GB2312" w:eastAsia="仿宋_GB2312" w:cs="仿宋_GB2312"/>
          <w:color w:val="000000"/>
          <w:sz w:val="24"/>
          <w:szCs w:val="24"/>
          <w:lang w:val="en-US" w:eastAsia="zh-CN"/>
        </w:rPr>
        <w:t>.8、现场测试，调试，使升级后的PC系统稳定运行。</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r>
        <w:rPr>
          <w:rFonts w:hint="default" w:ascii="仿宋_GB2312" w:hAnsi="仿宋_GB2312" w:eastAsia="仿宋_GB2312" w:cs="仿宋_GB2312"/>
          <w:color w:val="000000"/>
          <w:sz w:val="24"/>
          <w:szCs w:val="24"/>
          <w:lang w:val="en-US" w:eastAsia="zh-CN"/>
        </w:rPr>
        <w:t>.9、提供结合摩根控制包的现场培训,以及操作技能。</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r>
        <w:rPr>
          <w:rFonts w:hint="default" w:ascii="仿宋_GB2312" w:hAnsi="仿宋_GB2312" w:eastAsia="仿宋_GB2312" w:cs="仿宋_GB2312"/>
          <w:color w:val="000000"/>
          <w:sz w:val="24"/>
          <w:szCs w:val="24"/>
          <w:lang w:val="en-US" w:eastAsia="zh-CN"/>
        </w:rPr>
        <w:t>.10、所有的硬件保持最新的配置。</w:t>
      </w:r>
    </w:p>
    <w:p>
      <w:pPr>
        <w:numPr>
          <w:ilvl w:val="0"/>
          <w:numId w:val="0"/>
        </w:numPr>
        <w:ind w:firstLine="482" w:firstLineChars="200"/>
        <w:rPr>
          <w:rFonts w:hint="default" w:ascii="宋体" w:hAnsi="宋体" w:cs="宋体"/>
          <w:b/>
          <w:color w:val="auto"/>
          <w:sz w:val="24"/>
          <w:szCs w:val="24"/>
          <w:lang w:val="en-US" w:eastAsia="zh-CN"/>
        </w:rPr>
      </w:pPr>
      <w:r>
        <w:rPr>
          <w:rFonts w:hint="eastAsia" w:ascii="宋体" w:hAnsi="宋体" w:cs="宋体"/>
          <w:b/>
          <w:color w:val="auto"/>
          <w:sz w:val="24"/>
          <w:szCs w:val="24"/>
          <w:lang w:val="en-US" w:eastAsia="zh-CN"/>
        </w:rPr>
        <w:t>2.</w:t>
      </w:r>
      <w:r>
        <w:rPr>
          <w:rFonts w:hint="default" w:ascii="宋体" w:hAnsi="宋体" w:cs="宋体"/>
          <w:b/>
          <w:color w:val="auto"/>
          <w:sz w:val="24"/>
          <w:szCs w:val="24"/>
          <w:lang w:val="en-US" w:eastAsia="zh-CN"/>
        </w:rPr>
        <w:t>供货范围和工作范围</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r>
        <w:rPr>
          <w:rFonts w:hint="default" w:ascii="仿宋_GB2312" w:hAnsi="仿宋_GB2312" w:eastAsia="仿宋_GB2312" w:cs="仿宋_GB2312"/>
          <w:color w:val="000000"/>
          <w:sz w:val="24"/>
          <w:szCs w:val="24"/>
          <w:lang w:val="en-US" w:eastAsia="zh-CN"/>
        </w:rPr>
        <w:t>.1、卖方的供货清单</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val="en-US" w:eastAsia="zh-CN"/>
        </w:rPr>
        <w:t>）</w:t>
      </w:r>
      <w:r>
        <w:rPr>
          <w:rFonts w:hint="default" w:ascii="仿宋_GB2312" w:hAnsi="仿宋_GB2312" w:eastAsia="仿宋_GB2312" w:cs="仿宋_GB2312"/>
          <w:color w:val="000000"/>
          <w:sz w:val="24"/>
          <w:szCs w:val="24"/>
          <w:lang w:val="en-US" w:eastAsia="zh-CN"/>
        </w:rPr>
        <w:tab/>
      </w:r>
      <w:r>
        <w:rPr>
          <w:rFonts w:hint="default" w:ascii="仿宋_GB2312" w:hAnsi="仿宋_GB2312" w:eastAsia="仿宋_GB2312" w:cs="仿宋_GB2312"/>
          <w:color w:val="000000"/>
          <w:sz w:val="24"/>
          <w:szCs w:val="24"/>
          <w:lang w:val="en-US" w:eastAsia="zh-CN"/>
        </w:rPr>
        <w:t>服务器</w:t>
      </w:r>
      <w:r>
        <w:rPr>
          <w:rFonts w:hint="default" w:ascii="仿宋_GB2312" w:hAnsi="仿宋_GB2312" w:eastAsia="仿宋_GB2312" w:cs="仿宋_GB2312"/>
          <w:color w:val="000000"/>
          <w:sz w:val="24"/>
          <w:szCs w:val="24"/>
          <w:lang w:val="en-US" w:eastAsia="zh-CN"/>
        </w:rPr>
        <w:tab/>
      </w:r>
      <w:r>
        <w:rPr>
          <w:rFonts w:hint="default" w:ascii="仿宋_GB2312" w:hAnsi="仿宋_GB2312" w:eastAsia="仿宋_GB2312" w:cs="仿宋_GB2312"/>
          <w:color w:val="000000"/>
          <w:sz w:val="24"/>
          <w:szCs w:val="24"/>
          <w:lang w:val="en-US" w:eastAsia="zh-CN"/>
        </w:rPr>
        <w:t>windows server 2016</w:t>
      </w:r>
      <w:r>
        <w:rPr>
          <w:rFonts w:hint="default"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2</w:t>
      </w:r>
      <w:r>
        <w:rPr>
          <w:rFonts w:hint="default" w:ascii="仿宋_GB2312" w:hAnsi="仿宋_GB2312" w:eastAsia="仿宋_GB2312" w:cs="仿宋_GB2312"/>
          <w:color w:val="000000"/>
          <w:sz w:val="24"/>
          <w:szCs w:val="24"/>
          <w:lang w:val="en-US" w:eastAsia="zh-CN"/>
        </w:rPr>
        <w:t>台</w:t>
      </w:r>
      <w:r>
        <w:rPr>
          <w:rFonts w:hint="default" w:ascii="仿宋_GB2312" w:hAnsi="仿宋_GB2312" w:eastAsia="仿宋_GB2312" w:cs="仿宋_GB2312"/>
          <w:color w:val="000000"/>
          <w:sz w:val="24"/>
          <w:szCs w:val="24"/>
          <w:lang w:val="en-US" w:eastAsia="zh-CN"/>
        </w:rPr>
        <w:tab/>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val="en-US" w:eastAsia="zh-CN"/>
        </w:rPr>
        <w:t>）</w:t>
      </w:r>
      <w:r>
        <w:rPr>
          <w:rFonts w:hint="default" w:ascii="仿宋_GB2312" w:hAnsi="仿宋_GB2312" w:eastAsia="仿宋_GB2312" w:cs="仿宋_GB2312"/>
          <w:color w:val="000000"/>
          <w:sz w:val="24"/>
          <w:szCs w:val="24"/>
          <w:lang w:val="en-US" w:eastAsia="zh-CN"/>
        </w:rPr>
        <w:tab/>
      </w:r>
      <w:r>
        <w:rPr>
          <w:rFonts w:hint="default" w:ascii="仿宋_GB2312" w:hAnsi="仿宋_GB2312" w:eastAsia="仿宋_GB2312" w:cs="仿宋_GB2312"/>
          <w:color w:val="000000"/>
          <w:sz w:val="24"/>
          <w:szCs w:val="24"/>
          <w:lang w:val="en-US" w:eastAsia="zh-CN"/>
        </w:rPr>
        <w:t>编程PC</w:t>
      </w:r>
      <w:r>
        <w:rPr>
          <w:rFonts w:hint="default" w:ascii="仿宋_GB2312" w:hAnsi="仿宋_GB2312" w:eastAsia="仿宋_GB2312" w:cs="仿宋_GB2312"/>
          <w:color w:val="000000"/>
          <w:sz w:val="24"/>
          <w:szCs w:val="24"/>
          <w:lang w:val="en-US" w:eastAsia="zh-CN"/>
        </w:rPr>
        <w:tab/>
      </w:r>
      <w:r>
        <w:rPr>
          <w:rFonts w:hint="default" w:ascii="仿宋_GB2312" w:hAnsi="仿宋_GB2312" w:eastAsia="仿宋_GB2312" w:cs="仿宋_GB2312"/>
          <w:color w:val="000000"/>
          <w:sz w:val="24"/>
          <w:szCs w:val="24"/>
          <w:lang w:val="en-US" w:eastAsia="zh-CN"/>
        </w:rPr>
        <w:t>最新配置，安装所需软件，包括授权</w:t>
      </w:r>
      <w:r>
        <w:rPr>
          <w:rFonts w:hint="default"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7</w:t>
      </w:r>
      <w:r>
        <w:rPr>
          <w:rFonts w:hint="default" w:ascii="仿宋_GB2312" w:hAnsi="仿宋_GB2312" w:eastAsia="仿宋_GB2312" w:cs="仿宋_GB2312"/>
          <w:color w:val="000000"/>
          <w:sz w:val="24"/>
          <w:szCs w:val="24"/>
          <w:lang w:val="en-US" w:eastAsia="zh-CN"/>
        </w:rPr>
        <w:t>台</w:t>
      </w:r>
      <w:r>
        <w:rPr>
          <w:rFonts w:hint="default" w:ascii="仿宋_GB2312" w:hAnsi="仿宋_GB2312" w:eastAsia="仿宋_GB2312" w:cs="仿宋_GB2312"/>
          <w:color w:val="000000"/>
          <w:sz w:val="24"/>
          <w:szCs w:val="24"/>
          <w:lang w:val="en-US" w:eastAsia="zh-CN"/>
        </w:rPr>
        <w:tab/>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lang w:val="en-US" w:eastAsia="zh-CN"/>
        </w:rPr>
        <w:t>）</w:t>
      </w:r>
      <w:r>
        <w:rPr>
          <w:rFonts w:hint="default" w:ascii="仿宋_GB2312" w:hAnsi="仿宋_GB2312" w:eastAsia="仿宋_GB2312" w:cs="仿宋_GB2312"/>
          <w:color w:val="000000"/>
          <w:sz w:val="24"/>
          <w:szCs w:val="24"/>
          <w:lang w:val="en-US" w:eastAsia="zh-CN"/>
        </w:rPr>
        <w:tab/>
      </w:r>
      <w:r>
        <w:rPr>
          <w:rFonts w:hint="default" w:ascii="仿宋_GB2312" w:hAnsi="仿宋_GB2312" w:eastAsia="仿宋_GB2312" w:cs="仿宋_GB2312"/>
          <w:color w:val="000000"/>
          <w:sz w:val="24"/>
          <w:szCs w:val="24"/>
          <w:lang w:val="en-US" w:eastAsia="zh-CN"/>
        </w:rPr>
        <w:t>编程器</w:t>
      </w:r>
      <w:r>
        <w:rPr>
          <w:rFonts w:hint="default" w:ascii="仿宋_GB2312" w:hAnsi="仿宋_GB2312" w:eastAsia="仿宋_GB2312" w:cs="仿宋_GB2312"/>
          <w:color w:val="000000"/>
          <w:sz w:val="24"/>
          <w:szCs w:val="24"/>
          <w:lang w:val="en-US" w:eastAsia="zh-CN"/>
        </w:rPr>
        <w:tab/>
      </w:r>
      <w:r>
        <w:rPr>
          <w:rFonts w:hint="default" w:ascii="仿宋_GB2312" w:hAnsi="仿宋_GB2312" w:eastAsia="仿宋_GB2312" w:cs="仿宋_GB2312"/>
          <w:color w:val="000000"/>
          <w:sz w:val="24"/>
          <w:szCs w:val="24"/>
          <w:lang w:val="en-US" w:eastAsia="zh-CN"/>
        </w:rPr>
        <w:t>最新配置，预装所有调试软件</w:t>
      </w:r>
      <w:r>
        <w:rPr>
          <w:rFonts w:hint="default"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1</w:t>
      </w:r>
      <w:r>
        <w:rPr>
          <w:rFonts w:hint="default" w:ascii="仿宋_GB2312" w:hAnsi="仿宋_GB2312" w:eastAsia="仿宋_GB2312" w:cs="仿宋_GB2312"/>
          <w:color w:val="000000"/>
          <w:sz w:val="24"/>
          <w:szCs w:val="24"/>
          <w:lang w:val="en-US" w:eastAsia="zh-CN"/>
        </w:rPr>
        <w:t>台</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r>
        <w:rPr>
          <w:rFonts w:hint="default" w:ascii="仿宋_GB2312" w:hAnsi="仿宋_GB2312" w:eastAsia="仿宋_GB2312" w:cs="仿宋_GB2312"/>
          <w:color w:val="000000"/>
          <w:sz w:val="24"/>
          <w:szCs w:val="24"/>
          <w:lang w:val="en-US" w:eastAsia="zh-CN"/>
        </w:rPr>
        <w:t>.2、卖方的工作范围</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1)卖方应提供满足本规范书要求的全套硬件设备、软件和各项服务。</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2)按照工艺要求进行软、硬件调试，并做好调试后的各规格的生产跟踪。</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3)负责培训买方的技术人员，并使这些培训人员能得够熟练操作、维护、修改和调试系统。</w:t>
      </w:r>
    </w:p>
    <w:p>
      <w:pPr>
        <w:ind w:left="638" w:leftChars="304"/>
        <w:rPr>
          <w:rFonts w:hint="default" w:ascii="宋体" w:hAnsi="宋体" w:eastAsia="宋体" w:cs="宋体"/>
          <w:b/>
          <w:bCs/>
          <w:color w:val="auto"/>
          <w:sz w:val="24"/>
          <w:lang w:val="en-US" w:eastAsia="zh-CN"/>
        </w:rPr>
      </w:pPr>
      <w:r>
        <w:rPr>
          <w:rFonts w:hint="default" w:ascii="宋体" w:hAnsi="宋体" w:eastAsia="宋体" w:cs="宋体"/>
          <w:b/>
          <w:bCs/>
          <w:color w:val="auto"/>
          <w:sz w:val="24"/>
          <w:szCs w:val="24"/>
          <w:lang w:val="en-US" w:eastAsia="zh-CN"/>
        </w:rPr>
        <w:t>本次招标项目最高投标限价为：</w:t>
      </w:r>
      <w:r>
        <w:rPr>
          <w:rFonts w:hint="eastAsia" w:cs="宋体"/>
          <w:b/>
          <w:bCs/>
          <w:color w:val="auto"/>
          <w:sz w:val="24"/>
          <w:szCs w:val="24"/>
          <w:lang w:val="en-US" w:eastAsia="zh-CN"/>
        </w:rPr>
        <w:t>100万元（壹佰万元）</w:t>
      </w:r>
      <w:r>
        <w:rPr>
          <w:rFonts w:hint="eastAsia" w:ascii="宋体" w:hAnsi="宋体" w:cs="宋体"/>
          <w:b/>
          <w:bCs/>
          <w:color w:val="auto"/>
          <w:sz w:val="24"/>
          <w:szCs w:val="24"/>
          <w:lang w:val="en-US" w:eastAsia="zh-CN"/>
        </w:rPr>
        <w:t>，</w:t>
      </w:r>
      <w:r>
        <w:rPr>
          <w:rFonts w:hint="default" w:ascii="宋体" w:hAnsi="宋体" w:eastAsia="宋体" w:cs="宋体"/>
          <w:b/>
          <w:bCs/>
          <w:color w:val="auto"/>
          <w:sz w:val="24"/>
          <w:szCs w:val="24"/>
          <w:lang w:val="en-US" w:eastAsia="zh-CN"/>
        </w:rPr>
        <w:t>报价高于此最高投标限价的作废标处理。</w:t>
      </w:r>
    </w:p>
    <w:p>
      <w:pPr>
        <w:jc w:val="right"/>
        <w:rPr>
          <w:rFonts w:hint="eastAsia" w:ascii="宋体" w:hAnsi="宋体" w:eastAsia="宋体" w:cs="宋体"/>
          <w:b/>
          <w:color w:val="auto"/>
          <w:sz w:val="28"/>
          <w:szCs w:val="28"/>
        </w:rPr>
      </w:pPr>
    </w:p>
    <w:p>
      <w:pPr>
        <w:jc w:val="right"/>
        <w:rPr>
          <w:rFonts w:hint="eastAsia" w:ascii="宋体" w:hAnsi="宋体" w:eastAsia="宋体" w:cs="宋体"/>
          <w:b/>
          <w:color w:val="auto"/>
          <w:sz w:val="28"/>
          <w:szCs w:val="28"/>
        </w:rPr>
      </w:pPr>
    </w:p>
    <w:p>
      <w:pPr>
        <w:jc w:val="right"/>
        <w:rPr>
          <w:rFonts w:hint="eastAsia" w:ascii="宋体" w:hAnsi="宋体" w:eastAsia="宋体" w:cs="宋体"/>
          <w:b/>
          <w:color w:val="auto"/>
          <w:sz w:val="28"/>
          <w:szCs w:val="28"/>
        </w:rPr>
      </w:pPr>
    </w:p>
    <w:p>
      <w:pPr>
        <w:pStyle w:val="2"/>
        <w:rPr>
          <w:rFonts w:hint="eastAsia" w:ascii="宋体" w:hAnsi="宋体" w:eastAsia="宋体" w:cs="宋体"/>
          <w:b/>
          <w:color w:val="auto"/>
          <w:sz w:val="28"/>
          <w:szCs w:val="28"/>
        </w:rPr>
      </w:pPr>
    </w:p>
    <w:p>
      <w:pPr>
        <w:rPr>
          <w:rFonts w:hint="eastAsia"/>
        </w:rPr>
      </w:pPr>
    </w:p>
    <w:p>
      <w:pPr>
        <w:jc w:val="right"/>
        <w:rPr>
          <w:rFonts w:hint="eastAsia" w:ascii="宋体" w:hAnsi="宋体" w:eastAsia="宋体" w:cs="宋体"/>
          <w:b/>
          <w:color w:val="auto"/>
          <w:sz w:val="28"/>
          <w:szCs w:val="28"/>
        </w:rPr>
      </w:pPr>
      <w:r>
        <w:rPr>
          <w:rFonts w:hint="eastAsia" w:ascii="宋体" w:hAnsi="宋体" w:eastAsia="宋体" w:cs="宋体"/>
          <w:b/>
          <w:color w:val="auto"/>
          <w:sz w:val="28"/>
          <w:szCs w:val="28"/>
        </w:rPr>
        <w:t>芜湖新兴铸管有限责任公司</w:t>
      </w:r>
    </w:p>
    <w:p>
      <w:pPr>
        <w:jc w:val="right"/>
        <w:rPr>
          <w:rFonts w:hint="default" w:ascii="宋体" w:hAnsi="宋体" w:eastAsia="宋体" w:cs="宋体"/>
          <w:color w:val="auto"/>
          <w:sz w:val="24"/>
          <w:szCs w:val="24"/>
          <w:lang w:val="en-US"/>
        </w:rPr>
      </w:pPr>
      <w:r>
        <w:rPr>
          <w:rFonts w:hint="eastAsia" w:ascii="宋体" w:hAnsi="宋体" w:eastAsia="宋体" w:cs="宋体"/>
          <w:color w:val="auto"/>
          <w:sz w:val="24"/>
          <w:szCs w:val="24"/>
        </w:rPr>
        <w:t xml:space="preserve">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29日</w:t>
      </w:r>
    </w:p>
    <w:p>
      <w:pPr>
        <w:jc w:val="both"/>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color w:val="auto"/>
        </w:rPr>
      </w:pPr>
    </w:p>
    <w:p>
      <w:pPr>
        <w:rPr>
          <w:rFonts w:hint="eastAsia" w:ascii="宋体" w:hAnsi="宋体" w:eastAsia="宋体" w:cs="宋体"/>
          <w:color w:val="auto"/>
          <w:sz w:val="24"/>
          <w:szCs w:val="24"/>
        </w:rPr>
      </w:pPr>
    </w:p>
    <w:p>
      <w:pPr>
        <w:rPr>
          <w:rFonts w:hint="eastAsia"/>
          <w:color w:val="auto"/>
          <w:lang w:val="en-US" w:eastAsia="zh-CN"/>
        </w:rPr>
      </w:pPr>
      <w:r>
        <w:rPr>
          <w:rFonts w:hint="eastAsia"/>
          <w:color w:val="auto"/>
          <w:lang w:val="en-US" w:eastAsia="zh-CN"/>
        </w:rPr>
        <w:br w:type="page"/>
      </w:r>
    </w:p>
    <w:p>
      <w:pPr>
        <w:pStyle w:val="2"/>
        <w:rPr>
          <w:rFonts w:hint="default" w:ascii="宋体" w:hAnsi="宋体" w:eastAsia="宋体" w:cs="宋体"/>
          <w:sz w:val="30"/>
          <w:szCs w:val="30"/>
          <w:lang w:val="en-US" w:eastAsia="zh-CN"/>
        </w:rPr>
      </w:pPr>
      <w:r>
        <w:rPr>
          <w:rFonts w:hint="eastAsia" w:cs="宋体"/>
          <w:sz w:val="30"/>
          <w:szCs w:val="30"/>
          <w:lang w:eastAsia="zh-CN"/>
        </w:rPr>
        <w:t>附件</w:t>
      </w:r>
      <w:r>
        <w:rPr>
          <w:rFonts w:hint="eastAsia" w:cs="宋体"/>
          <w:sz w:val="30"/>
          <w:szCs w:val="30"/>
          <w:lang w:val="en-US" w:eastAsia="zh-CN"/>
        </w:rPr>
        <w:t>2</w:t>
      </w:r>
    </w:p>
    <w:p>
      <w:pPr>
        <w:jc w:val="both"/>
        <w:rPr>
          <w:rFonts w:hint="eastAsia" w:ascii="宋体" w:hAnsi="宋体" w:eastAsia="宋体" w:cs="宋体"/>
          <w:b/>
          <w:bCs/>
          <w:color w:val="auto"/>
          <w:sz w:val="24"/>
          <w:szCs w:val="24"/>
          <w:lang w:val="en-US" w:eastAsia="zh-CN"/>
        </w:rPr>
      </w:pPr>
    </w:p>
    <w:p>
      <w:p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w:t>
      </w:r>
    </w:p>
    <w:p>
      <w:pPr>
        <w:tabs>
          <w:tab w:val="left" w:pos="720"/>
          <w:tab w:val="left" w:pos="7200"/>
        </w:tabs>
        <w:snapToGrid w:val="0"/>
        <w:spacing w:line="240" w:lineRule="atLeast"/>
        <w:rPr>
          <w:b/>
        </w:rPr>
      </w:pPr>
      <w:r>
        <w:rPr>
          <w:sz w:val="21"/>
        </w:rPr>
        <mc:AlternateContent>
          <mc:Choice Requires="wps">
            <w:drawing>
              <wp:anchor distT="0" distB="0" distL="114300" distR="114300" simplePos="0" relativeHeight="251662336" behindDoc="0" locked="0" layoutInCell="1" allowOverlap="1">
                <wp:simplePos x="0" y="0"/>
                <wp:positionH relativeFrom="column">
                  <wp:posOffset>-387350</wp:posOffset>
                </wp:positionH>
                <wp:positionV relativeFrom="paragraph">
                  <wp:posOffset>13970</wp:posOffset>
                </wp:positionV>
                <wp:extent cx="6453505" cy="4225290"/>
                <wp:effectExtent l="4445" t="4445" r="19050" b="18415"/>
                <wp:wrapNone/>
                <wp:docPr id="1" name="文本框 1"/>
                <wp:cNvGraphicFramePr/>
                <a:graphic xmlns:a="http://schemas.openxmlformats.org/drawingml/2006/main">
                  <a:graphicData uri="http://schemas.microsoft.com/office/word/2010/wordprocessingShape">
                    <wps:wsp>
                      <wps:cNvSpPr txBox="1"/>
                      <wps:spPr>
                        <a:xfrm>
                          <a:off x="857250" y="655320"/>
                          <a:ext cx="6453505" cy="4225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FF"/>
                              </w:rPr>
                            </w:pPr>
                          </w:p>
                          <w:tbl>
                            <w:tblPr>
                              <w:tblStyle w:val="9"/>
                              <w:tblW w:w="9795" w:type="dxa"/>
                              <w:tblInd w:w="0" w:type="dxa"/>
                              <w:shd w:val="clear" w:color="auto" w:fill="auto"/>
                              <w:tblLayout w:type="fixed"/>
                              <w:tblCellMar>
                                <w:top w:w="0" w:type="dxa"/>
                                <w:left w:w="0" w:type="dxa"/>
                                <w:bottom w:w="0" w:type="dxa"/>
                                <w:right w:w="0" w:type="dxa"/>
                              </w:tblCellMar>
                            </w:tblPr>
                            <w:tblGrid>
                              <w:gridCol w:w="630"/>
                              <w:gridCol w:w="1605"/>
                              <w:gridCol w:w="1081"/>
                              <w:gridCol w:w="1500"/>
                              <w:gridCol w:w="1199"/>
                              <w:gridCol w:w="1260"/>
                              <w:gridCol w:w="1260"/>
                              <w:gridCol w:w="1260"/>
                            </w:tblGrid>
                            <w:tr>
                              <w:tblPrEx>
                                <w:shd w:val="clear" w:color="auto" w:fill="auto"/>
                                <w:tblCellMar>
                                  <w:top w:w="0" w:type="dxa"/>
                                  <w:left w:w="0" w:type="dxa"/>
                                  <w:bottom w:w="0" w:type="dxa"/>
                                  <w:right w:w="0" w:type="dxa"/>
                                </w:tblCellMar>
                              </w:tblPrEx>
                              <w:trPr>
                                <w:trHeight w:val="615" w:hRule="atLeast"/>
                              </w:trPr>
                              <w:tc>
                                <w:tcPr>
                                  <w:tcW w:w="979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宋体" w:hAnsi="宋体" w:cs="宋体"/>
                                      <w:b/>
                                      <w:i w:val="0"/>
                                      <w:color w:val="auto"/>
                                      <w:kern w:val="0"/>
                                      <w:sz w:val="36"/>
                                      <w:szCs w:val="36"/>
                                      <w:u w:val="none"/>
                                      <w:lang w:val="en-US" w:eastAsia="zh-CN" w:bidi="ar"/>
                                    </w:rPr>
                                    <w:t>轧钢部B线系统升级改造</w:t>
                                  </w:r>
                                  <w:r>
                                    <w:rPr>
                                      <w:rFonts w:hint="eastAsia" w:ascii="宋体" w:hAnsi="宋体" w:eastAsia="宋体" w:cs="宋体"/>
                                      <w:b/>
                                      <w:i w:val="0"/>
                                      <w:color w:val="auto"/>
                                      <w:kern w:val="0"/>
                                      <w:sz w:val="36"/>
                                      <w:szCs w:val="36"/>
                                      <w:u w:val="none"/>
                                      <w:lang w:val="en-US" w:eastAsia="zh-CN" w:bidi="ar"/>
                                    </w:rPr>
                                    <w:t>报价表</w:t>
                                  </w:r>
                                </w:p>
                              </w:tc>
                            </w:tr>
                            <w:tr>
                              <w:tblPrEx>
                                <w:shd w:val="clear" w:color="auto" w:fill="auto"/>
                                <w:tblCellMar>
                                  <w:top w:w="0" w:type="dxa"/>
                                  <w:left w:w="0" w:type="dxa"/>
                                  <w:bottom w:w="0" w:type="dxa"/>
                                  <w:right w:w="0"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kern w:val="0"/>
                                      <w:sz w:val="22"/>
                                      <w:szCs w:val="22"/>
                                      <w:u w:val="none"/>
                                      <w:lang w:val="en-US" w:eastAsia="zh-CN" w:bidi="ar"/>
                                    </w:rPr>
                                    <w:t>设备</w:t>
                                  </w:r>
                                  <w:r>
                                    <w:rPr>
                                      <w:rFonts w:hint="eastAsia" w:ascii="宋体" w:hAnsi="宋体" w:cs="宋体"/>
                                      <w:i w:val="0"/>
                                      <w:color w:val="auto"/>
                                      <w:kern w:val="0"/>
                                      <w:sz w:val="22"/>
                                      <w:szCs w:val="22"/>
                                      <w:u w:val="none"/>
                                      <w:lang w:val="en-US" w:eastAsia="zh-CN" w:bidi="ar"/>
                                    </w:rPr>
                                    <w:t>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型号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报价</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分项报价合计（元）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814" w:hRule="atLeast"/>
                              </w:trPr>
                              <w:tc>
                                <w:tcPr>
                                  <w:tcW w:w="6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w:t>
                                  </w:r>
                                </w:p>
                              </w:tc>
                              <w:tc>
                                <w:tcPr>
                                  <w:tcW w:w="268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8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84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3</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11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sz w:val="22"/>
                                      <w:szCs w:val="22"/>
                                      <w:u w:val="none"/>
                                      <w:lang w:eastAsia="zh-CN"/>
                                    </w:rPr>
                                    <w:t>……</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720" w:hRule="atLeast"/>
                              </w:trPr>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一次报价合计：</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元；</w:t>
                                  </w: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报价金额大写：</w:t>
                                  </w:r>
                                </w:p>
                              </w:tc>
                              <w:tc>
                                <w:tcPr>
                                  <w:tcW w:w="119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税率：</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w:t>
                                  </w:r>
                                </w:p>
                              </w:tc>
                              <w:tc>
                                <w:tcPr>
                                  <w:tcW w:w="12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pPr>
                          </w:p>
                          <w:p/>
                          <w:p>
                            <w:pPr>
                              <w:pStyle w:val="2"/>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1.1pt;height:332.7pt;width:508.15pt;z-index:251662336;mso-width-relative:page;mso-height-relative:page;" fillcolor="#FFFFFF [3201]" filled="t" stroked="t" coordsize="21600,21600" o:gfxdata="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wzq29YAAAAJAQAADwAAAAAAAAABACAAAAAiAAAAZHJzL2Rvd25yZXYueG1sUEsBAhQAFAAAAAgA&#10;h07iQL86Y6tgAgAAwgQAAA4AAAAAAAAAAQAgAAAAJQEAAGRycy9lMm9Eb2MueG1sUEsFBgAAAAAG&#10;AAYAWQEAAPcFAAAAAA==&#10;">
                <v:fill on="t" focussize="0,0"/>
                <v:stroke weight="0.5pt" color="#000000 [3204]" joinstyle="round"/>
                <v:imagedata o:title=""/>
                <o:lock v:ext="edit" aspectratio="f"/>
                <v:textbox>
                  <w:txbxContent>
                    <w:p>
                      <w:pPr>
                        <w:rPr>
                          <w:color w:val="0000FF"/>
                        </w:rPr>
                      </w:pPr>
                    </w:p>
                    <w:tbl>
                      <w:tblPr>
                        <w:tblStyle w:val="9"/>
                        <w:tblW w:w="9795" w:type="dxa"/>
                        <w:tblInd w:w="0" w:type="dxa"/>
                        <w:shd w:val="clear" w:color="auto" w:fill="auto"/>
                        <w:tblLayout w:type="fixed"/>
                        <w:tblCellMar>
                          <w:top w:w="0" w:type="dxa"/>
                          <w:left w:w="0" w:type="dxa"/>
                          <w:bottom w:w="0" w:type="dxa"/>
                          <w:right w:w="0" w:type="dxa"/>
                        </w:tblCellMar>
                      </w:tblPr>
                      <w:tblGrid>
                        <w:gridCol w:w="630"/>
                        <w:gridCol w:w="1605"/>
                        <w:gridCol w:w="1081"/>
                        <w:gridCol w:w="1500"/>
                        <w:gridCol w:w="1199"/>
                        <w:gridCol w:w="1260"/>
                        <w:gridCol w:w="1260"/>
                        <w:gridCol w:w="1260"/>
                      </w:tblGrid>
                      <w:tr>
                        <w:tblPrEx>
                          <w:tblCellMar>
                            <w:top w:w="0" w:type="dxa"/>
                            <w:left w:w="0" w:type="dxa"/>
                            <w:bottom w:w="0" w:type="dxa"/>
                            <w:right w:w="0" w:type="dxa"/>
                          </w:tblCellMar>
                        </w:tblPrEx>
                        <w:trPr>
                          <w:trHeight w:val="615" w:hRule="atLeast"/>
                        </w:trPr>
                        <w:tc>
                          <w:tcPr>
                            <w:tcW w:w="979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宋体" w:hAnsi="宋体" w:cs="宋体"/>
                                <w:b/>
                                <w:i w:val="0"/>
                                <w:color w:val="auto"/>
                                <w:kern w:val="0"/>
                                <w:sz w:val="36"/>
                                <w:szCs w:val="36"/>
                                <w:u w:val="none"/>
                                <w:lang w:val="en-US" w:eastAsia="zh-CN" w:bidi="ar"/>
                              </w:rPr>
                              <w:t>轧钢部B线系统升级改造</w:t>
                            </w:r>
                            <w:r>
                              <w:rPr>
                                <w:rFonts w:hint="eastAsia" w:ascii="宋体" w:hAnsi="宋体" w:eastAsia="宋体" w:cs="宋体"/>
                                <w:b/>
                                <w:i w:val="0"/>
                                <w:color w:val="auto"/>
                                <w:kern w:val="0"/>
                                <w:sz w:val="36"/>
                                <w:szCs w:val="36"/>
                                <w:u w:val="none"/>
                                <w:lang w:val="en-US" w:eastAsia="zh-CN" w:bidi="ar"/>
                              </w:rPr>
                              <w:t>报价表</w:t>
                            </w:r>
                          </w:p>
                        </w:tc>
                      </w:tr>
                      <w:tr>
                        <w:tblPrEx>
                          <w:shd w:val="clear" w:color="auto" w:fill="auto"/>
                          <w:tblCellMar>
                            <w:top w:w="0" w:type="dxa"/>
                            <w:left w:w="0" w:type="dxa"/>
                            <w:bottom w:w="0" w:type="dxa"/>
                            <w:right w:w="0"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kern w:val="0"/>
                                <w:sz w:val="22"/>
                                <w:szCs w:val="22"/>
                                <w:u w:val="none"/>
                                <w:lang w:val="en-US" w:eastAsia="zh-CN" w:bidi="ar"/>
                              </w:rPr>
                              <w:t>设备</w:t>
                            </w:r>
                            <w:r>
                              <w:rPr>
                                <w:rFonts w:hint="eastAsia" w:ascii="宋体" w:hAnsi="宋体" w:cs="宋体"/>
                                <w:i w:val="0"/>
                                <w:color w:val="auto"/>
                                <w:kern w:val="0"/>
                                <w:sz w:val="22"/>
                                <w:szCs w:val="22"/>
                                <w:u w:val="none"/>
                                <w:lang w:val="en-US" w:eastAsia="zh-CN" w:bidi="ar"/>
                              </w:rPr>
                              <w:t>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型号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报价</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分项报价合计（元）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814" w:hRule="atLeast"/>
                        </w:trPr>
                        <w:tc>
                          <w:tcPr>
                            <w:tcW w:w="6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w:t>
                            </w:r>
                          </w:p>
                        </w:tc>
                        <w:tc>
                          <w:tcPr>
                            <w:tcW w:w="268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8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84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3</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11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sz w:val="22"/>
                                <w:szCs w:val="22"/>
                                <w:u w:val="none"/>
                                <w:lang w:eastAsia="zh-CN"/>
                              </w:rPr>
                              <w:t>……</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720" w:hRule="atLeast"/>
                        </w:trPr>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一次报价合计：</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元；</w:t>
                            </w: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报价金额大写：</w:t>
                            </w:r>
                          </w:p>
                        </w:tc>
                        <w:tc>
                          <w:tcPr>
                            <w:tcW w:w="119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税率：</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w:t>
                            </w:r>
                          </w:p>
                        </w:tc>
                        <w:tc>
                          <w:tcPr>
                            <w:tcW w:w="12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pPr>
                    </w:p>
                    <w:p/>
                    <w:p>
                      <w:pPr>
                        <w:pStyle w:val="2"/>
                      </w:pPr>
                    </w:p>
                    <w:p/>
                  </w:txbxContent>
                </v:textbox>
              </v:shape>
            </w:pict>
          </mc:Fallback>
        </mc:AlternateContent>
      </w: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ind w:left="0" w:leftChars="0" w:firstLine="0" w:firstLineChars="0"/>
        <w:rPr>
          <w:b/>
        </w:rPr>
      </w:pPr>
    </w:p>
    <w:p>
      <w:pPr>
        <w:tabs>
          <w:tab w:val="left" w:pos="720"/>
          <w:tab w:val="left" w:pos="7200"/>
        </w:tabs>
        <w:snapToGrid w:val="0"/>
        <w:spacing w:line="240" w:lineRule="atLeast"/>
        <w:rPr>
          <w:b/>
        </w:rPr>
      </w:pPr>
    </w:p>
    <w:p>
      <w:pPr>
        <w:pStyle w:val="2"/>
        <w:rPr>
          <w:b/>
        </w:rPr>
      </w:pPr>
    </w:p>
    <w:p>
      <w:pPr>
        <w:rPr>
          <w:b/>
        </w:rPr>
      </w:pPr>
    </w:p>
    <w:p>
      <w:pPr>
        <w:pStyle w:val="2"/>
        <w:rPr>
          <w:b/>
        </w:rPr>
      </w:pPr>
    </w:p>
    <w:p>
      <w:pPr>
        <w:rPr>
          <w:b/>
        </w:rPr>
      </w:pPr>
    </w:p>
    <w:p/>
    <w:p>
      <w:pPr>
        <w:pStyle w:val="2"/>
      </w:pPr>
    </w:p>
    <w:p/>
    <w:p>
      <w:pPr>
        <w:pStyle w:val="2"/>
      </w:pPr>
    </w:p>
    <w:p/>
    <w:p>
      <w:pPr>
        <w:pStyle w:val="2"/>
      </w:pPr>
    </w:p>
    <w:p>
      <w:pPr>
        <w:pStyle w:val="2"/>
      </w:pPr>
    </w:p>
    <w:p/>
    <w:p>
      <w:pPr>
        <w:pStyle w:val="2"/>
      </w:pPr>
    </w:p>
    <w:p/>
    <w:p>
      <w:pPr>
        <w:pStyle w:val="2"/>
      </w:pPr>
    </w:p>
    <w:p/>
    <w:p>
      <w:pPr>
        <w:pStyle w:val="2"/>
      </w:pPr>
    </w:p>
    <w:p>
      <w:pPr>
        <w:pStyle w:val="2"/>
        <w:rPr>
          <w:rFonts w:hint="default" w:ascii="宋体" w:hAnsi="宋体" w:eastAsia="宋体" w:cs="宋体"/>
          <w:sz w:val="30"/>
          <w:szCs w:val="30"/>
          <w:lang w:val="en-US" w:eastAsia="zh-CN"/>
        </w:rPr>
      </w:pPr>
      <w:r>
        <w:rPr>
          <w:rFonts w:hint="eastAsia" w:cs="宋体"/>
          <w:sz w:val="30"/>
          <w:szCs w:val="30"/>
          <w:lang w:eastAsia="zh-CN"/>
        </w:rPr>
        <w:t>附件</w:t>
      </w:r>
      <w:r>
        <w:rPr>
          <w:rFonts w:hint="eastAsia" w:cs="宋体"/>
          <w:sz w:val="30"/>
          <w:szCs w:val="30"/>
          <w:lang w:val="en-US" w:eastAsia="zh-CN"/>
        </w:rPr>
        <w:t>3</w:t>
      </w: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35pt;margin-top:-11.6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发邮件至xiejinlin3@126.com</w:t>
      </w:r>
      <w:r>
        <w:rPr>
          <w:rFonts w:hint="eastAsia" w:ascii="仿宋_GB2312" w:eastAsia="仿宋_GB2312"/>
          <w:b/>
          <w:color w:val="0000FF"/>
          <w:sz w:val="28"/>
          <w:szCs w:val="28"/>
          <w:lang w:val="en-US" w:eastAsia="zh-CN"/>
        </w:rPr>
        <w:t>。</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pStyle w:val="2"/>
        <w:rPr>
          <w:rFonts w:hint="eastAsia" w:ascii="微软雅黑" w:eastAsia="微软雅黑"/>
          <w:b/>
          <w:sz w:val="36"/>
        </w:rPr>
      </w:pPr>
      <w:r>
        <w:rPr>
          <w:rFonts w:hint="eastAsia" w:cs="宋体"/>
          <w:sz w:val="30"/>
          <w:szCs w:val="30"/>
          <w:lang w:eastAsia="zh-CN"/>
        </w:rPr>
        <w:t>附件</w:t>
      </w:r>
      <w:r>
        <w:rPr>
          <w:rFonts w:hint="eastAsia" w:cs="宋体"/>
          <w:sz w:val="30"/>
          <w:szCs w:val="30"/>
          <w:lang w:val="en-US" w:eastAsia="zh-CN"/>
        </w:rPr>
        <w:t>4</w:t>
      </w: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2"/>
        <w:spacing w:before="0" w:line="360" w:lineRule="auto"/>
        <w:ind w:left="0" w:leftChars="0" w:firstLine="0" w:firstLineChars="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pStyle w:val="2"/>
        <w:rPr>
          <w:bCs/>
          <w:sz w:val="28"/>
          <w:szCs w:val="28"/>
        </w:rPr>
      </w:pPr>
      <w:r>
        <w:rPr>
          <w:rFonts w:hint="eastAsia" w:cs="宋体"/>
          <w:sz w:val="30"/>
          <w:szCs w:val="30"/>
          <w:lang w:eastAsia="zh-CN"/>
        </w:rPr>
        <w:t>附件</w:t>
      </w:r>
      <w:r>
        <w:rPr>
          <w:rFonts w:hint="eastAsia" w:cs="宋体"/>
          <w:sz w:val="30"/>
          <w:szCs w:val="30"/>
          <w:lang w:val="en-US" w:eastAsia="zh-CN"/>
        </w:rPr>
        <w:t>5</w:t>
      </w: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5E4E6D2"/>
    <w:multiLevelType w:val="singleLevel"/>
    <w:tmpl w:val="65E4E6D2"/>
    <w:lvl w:ilvl="0" w:tentative="0">
      <w:start w:val="14"/>
      <w:numFmt w:val="chineseCounting"/>
      <w:suff w:val="nothing"/>
      <w:lvlText w:val="%1、"/>
      <w:lvlJc w:val="left"/>
      <w:rPr>
        <w:rFonts w:hint="eastAsia"/>
      </w:rPr>
    </w:lvl>
  </w:abstractNum>
  <w:num w:numId="1">
    <w:abstractNumId w:val="4"/>
  </w:num>
  <w:num w:numId="2">
    <w:abstractNumId w:val="3"/>
    <w:lvlOverride w:ilvl="0">
      <w:startOverride w:val="1"/>
    </w:lvlOverride>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26F1EC0"/>
    <w:rsid w:val="02714618"/>
    <w:rsid w:val="0359403E"/>
    <w:rsid w:val="03CA2D70"/>
    <w:rsid w:val="03E609B6"/>
    <w:rsid w:val="049F7266"/>
    <w:rsid w:val="05055DEC"/>
    <w:rsid w:val="05A1714E"/>
    <w:rsid w:val="06092F84"/>
    <w:rsid w:val="06223459"/>
    <w:rsid w:val="078D31D6"/>
    <w:rsid w:val="08772F32"/>
    <w:rsid w:val="08830E09"/>
    <w:rsid w:val="08E5761C"/>
    <w:rsid w:val="08E753D4"/>
    <w:rsid w:val="090B706D"/>
    <w:rsid w:val="091E3FD2"/>
    <w:rsid w:val="093D70D3"/>
    <w:rsid w:val="09B22D37"/>
    <w:rsid w:val="0A0371ED"/>
    <w:rsid w:val="0A360BB6"/>
    <w:rsid w:val="0A3C50D1"/>
    <w:rsid w:val="0A664E28"/>
    <w:rsid w:val="0A862F69"/>
    <w:rsid w:val="0AB5637B"/>
    <w:rsid w:val="0B7C138B"/>
    <w:rsid w:val="0BE27B8C"/>
    <w:rsid w:val="0C080C41"/>
    <w:rsid w:val="0C1859C6"/>
    <w:rsid w:val="0C313DF6"/>
    <w:rsid w:val="0CC75FEA"/>
    <w:rsid w:val="0D5243ED"/>
    <w:rsid w:val="0D8D3E6B"/>
    <w:rsid w:val="0E463DB0"/>
    <w:rsid w:val="0E8D717C"/>
    <w:rsid w:val="0FF32FF0"/>
    <w:rsid w:val="102A6559"/>
    <w:rsid w:val="104A7442"/>
    <w:rsid w:val="10A61D3E"/>
    <w:rsid w:val="11E2473B"/>
    <w:rsid w:val="123C2831"/>
    <w:rsid w:val="12BF60C9"/>
    <w:rsid w:val="12DA3ACE"/>
    <w:rsid w:val="13453294"/>
    <w:rsid w:val="13C96641"/>
    <w:rsid w:val="13CD2E06"/>
    <w:rsid w:val="140B7274"/>
    <w:rsid w:val="1410406F"/>
    <w:rsid w:val="14842D4B"/>
    <w:rsid w:val="1485679E"/>
    <w:rsid w:val="14C47DFB"/>
    <w:rsid w:val="14E63829"/>
    <w:rsid w:val="15033E01"/>
    <w:rsid w:val="153452FD"/>
    <w:rsid w:val="15510748"/>
    <w:rsid w:val="15852DCC"/>
    <w:rsid w:val="16194009"/>
    <w:rsid w:val="164104C8"/>
    <w:rsid w:val="16AF0386"/>
    <w:rsid w:val="171C6697"/>
    <w:rsid w:val="17A47DC6"/>
    <w:rsid w:val="17D57CB5"/>
    <w:rsid w:val="17F201CC"/>
    <w:rsid w:val="18285AE9"/>
    <w:rsid w:val="18590675"/>
    <w:rsid w:val="18860A73"/>
    <w:rsid w:val="18CB096F"/>
    <w:rsid w:val="191276F1"/>
    <w:rsid w:val="19A40C16"/>
    <w:rsid w:val="1A491240"/>
    <w:rsid w:val="1A6E6EF3"/>
    <w:rsid w:val="1A722489"/>
    <w:rsid w:val="1ACF266A"/>
    <w:rsid w:val="1B727C38"/>
    <w:rsid w:val="1BA45DED"/>
    <w:rsid w:val="1C983E3B"/>
    <w:rsid w:val="1CA3074D"/>
    <w:rsid w:val="1CB152F7"/>
    <w:rsid w:val="1D0022F2"/>
    <w:rsid w:val="1D326EDD"/>
    <w:rsid w:val="1D987856"/>
    <w:rsid w:val="1DBD6643"/>
    <w:rsid w:val="1DD83E28"/>
    <w:rsid w:val="1FCB0D17"/>
    <w:rsid w:val="201179AD"/>
    <w:rsid w:val="20D660B8"/>
    <w:rsid w:val="211B1181"/>
    <w:rsid w:val="22833DD5"/>
    <w:rsid w:val="249E0E19"/>
    <w:rsid w:val="25C530E1"/>
    <w:rsid w:val="26D6793C"/>
    <w:rsid w:val="27317CC6"/>
    <w:rsid w:val="27F4566A"/>
    <w:rsid w:val="280D1ED2"/>
    <w:rsid w:val="2817243D"/>
    <w:rsid w:val="28843743"/>
    <w:rsid w:val="289C1B61"/>
    <w:rsid w:val="292148DF"/>
    <w:rsid w:val="29F46B06"/>
    <w:rsid w:val="29F91800"/>
    <w:rsid w:val="2A815E5E"/>
    <w:rsid w:val="2A8C390C"/>
    <w:rsid w:val="2B793E86"/>
    <w:rsid w:val="2B9E6661"/>
    <w:rsid w:val="2BAE7996"/>
    <w:rsid w:val="2C245253"/>
    <w:rsid w:val="2C683358"/>
    <w:rsid w:val="2CFB13EC"/>
    <w:rsid w:val="2D352516"/>
    <w:rsid w:val="2D5646CB"/>
    <w:rsid w:val="2D9D4FB9"/>
    <w:rsid w:val="2DBF4A5D"/>
    <w:rsid w:val="2E5349E3"/>
    <w:rsid w:val="2FD01EFE"/>
    <w:rsid w:val="305B5D9E"/>
    <w:rsid w:val="30DD5200"/>
    <w:rsid w:val="32372CC9"/>
    <w:rsid w:val="32BF0EBF"/>
    <w:rsid w:val="33732D94"/>
    <w:rsid w:val="33D9448D"/>
    <w:rsid w:val="342771D5"/>
    <w:rsid w:val="34BF11CB"/>
    <w:rsid w:val="35FF4D01"/>
    <w:rsid w:val="36363A60"/>
    <w:rsid w:val="366D00F1"/>
    <w:rsid w:val="37232FDA"/>
    <w:rsid w:val="389B6B59"/>
    <w:rsid w:val="38DD474A"/>
    <w:rsid w:val="3AF836DB"/>
    <w:rsid w:val="3B79579C"/>
    <w:rsid w:val="3B95751B"/>
    <w:rsid w:val="3BA87B84"/>
    <w:rsid w:val="3BBC7E07"/>
    <w:rsid w:val="3FD61736"/>
    <w:rsid w:val="3FE12F42"/>
    <w:rsid w:val="403D7860"/>
    <w:rsid w:val="41761474"/>
    <w:rsid w:val="41EF7E88"/>
    <w:rsid w:val="42616A08"/>
    <w:rsid w:val="42FC01EE"/>
    <w:rsid w:val="4306178B"/>
    <w:rsid w:val="434847B1"/>
    <w:rsid w:val="437E1B5F"/>
    <w:rsid w:val="43834BB1"/>
    <w:rsid w:val="44115275"/>
    <w:rsid w:val="445E33D2"/>
    <w:rsid w:val="44D90ED7"/>
    <w:rsid w:val="44E16AC9"/>
    <w:rsid w:val="45982D2E"/>
    <w:rsid w:val="45C50135"/>
    <w:rsid w:val="463C43C1"/>
    <w:rsid w:val="465156FA"/>
    <w:rsid w:val="46763632"/>
    <w:rsid w:val="46864C98"/>
    <w:rsid w:val="47A877F1"/>
    <w:rsid w:val="47F646ED"/>
    <w:rsid w:val="48333AA2"/>
    <w:rsid w:val="484E7674"/>
    <w:rsid w:val="485B666D"/>
    <w:rsid w:val="49413915"/>
    <w:rsid w:val="498450E0"/>
    <w:rsid w:val="4A894820"/>
    <w:rsid w:val="4AE32B65"/>
    <w:rsid w:val="4B5A32B7"/>
    <w:rsid w:val="4C0E0DDD"/>
    <w:rsid w:val="4C1075C9"/>
    <w:rsid w:val="4C2819A0"/>
    <w:rsid w:val="4C2B4433"/>
    <w:rsid w:val="4D630F73"/>
    <w:rsid w:val="4E330062"/>
    <w:rsid w:val="4E933866"/>
    <w:rsid w:val="4ECE3A1F"/>
    <w:rsid w:val="51281503"/>
    <w:rsid w:val="512843CC"/>
    <w:rsid w:val="512E21B9"/>
    <w:rsid w:val="515A6EC2"/>
    <w:rsid w:val="528E627F"/>
    <w:rsid w:val="53FD53B4"/>
    <w:rsid w:val="54015272"/>
    <w:rsid w:val="54065380"/>
    <w:rsid w:val="556F09F4"/>
    <w:rsid w:val="55AF62E4"/>
    <w:rsid w:val="56B45E5E"/>
    <w:rsid w:val="56C25E8F"/>
    <w:rsid w:val="57142BEB"/>
    <w:rsid w:val="57242DF9"/>
    <w:rsid w:val="57F7037F"/>
    <w:rsid w:val="587765FD"/>
    <w:rsid w:val="58A25F92"/>
    <w:rsid w:val="595D3CE6"/>
    <w:rsid w:val="59CB76E9"/>
    <w:rsid w:val="59CD70F7"/>
    <w:rsid w:val="59CE448C"/>
    <w:rsid w:val="59F76C1F"/>
    <w:rsid w:val="5A3E0903"/>
    <w:rsid w:val="5A7A341B"/>
    <w:rsid w:val="5A7B6332"/>
    <w:rsid w:val="5D0A43B3"/>
    <w:rsid w:val="5D956282"/>
    <w:rsid w:val="5E0A70BC"/>
    <w:rsid w:val="5ED33E51"/>
    <w:rsid w:val="5F1464C5"/>
    <w:rsid w:val="612D253D"/>
    <w:rsid w:val="62DB6FA0"/>
    <w:rsid w:val="62E06CCD"/>
    <w:rsid w:val="62EA534E"/>
    <w:rsid w:val="630374E0"/>
    <w:rsid w:val="644259B2"/>
    <w:rsid w:val="64A63A0B"/>
    <w:rsid w:val="64F05C4C"/>
    <w:rsid w:val="652E5B69"/>
    <w:rsid w:val="65327054"/>
    <w:rsid w:val="65560384"/>
    <w:rsid w:val="65631E97"/>
    <w:rsid w:val="65633E99"/>
    <w:rsid w:val="65734A98"/>
    <w:rsid w:val="658D42FA"/>
    <w:rsid w:val="66EB5CF6"/>
    <w:rsid w:val="672B2DB9"/>
    <w:rsid w:val="673719E9"/>
    <w:rsid w:val="676141A1"/>
    <w:rsid w:val="678E2DE0"/>
    <w:rsid w:val="68242302"/>
    <w:rsid w:val="6828533C"/>
    <w:rsid w:val="68382F15"/>
    <w:rsid w:val="68DB0209"/>
    <w:rsid w:val="69B4744D"/>
    <w:rsid w:val="69DF509C"/>
    <w:rsid w:val="6A2B07F8"/>
    <w:rsid w:val="6A756D57"/>
    <w:rsid w:val="6AA71FE5"/>
    <w:rsid w:val="6AA942DD"/>
    <w:rsid w:val="6B48181B"/>
    <w:rsid w:val="6C61271C"/>
    <w:rsid w:val="6C95559B"/>
    <w:rsid w:val="6CE31470"/>
    <w:rsid w:val="6CE86732"/>
    <w:rsid w:val="6DF805AD"/>
    <w:rsid w:val="6EC63D6E"/>
    <w:rsid w:val="6F091E0B"/>
    <w:rsid w:val="6F8F7262"/>
    <w:rsid w:val="70284B84"/>
    <w:rsid w:val="703303EB"/>
    <w:rsid w:val="703D15E5"/>
    <w:rsid w:val="7049466C"/>
    <w:rsid w:val="71A464BF"/>
    <w:rsid w:val="71A8122B"/>
    <w:rsid w:val="71F81EDF"/>
    <w:rsid w:val="722B2CA3"/>
    <w:rsid w:val="737E26B8"/>
    <w:rsid w:val="74ED4BCF"/>
    <w:rsid w:val="75873776"/>
    <w:rsid w:val="75E23E95"/>
    <w:rsid w:val="76EC3DC3"/>
    <w:rsid w:val="76F81603"/>
    <w:rsid w:val="772D334F"/>
    <w:rsid w:val="77BF3A5A"/>
    <w:rsid w:val="78A04247"/>
    <w:rsid w:val="793B5A38"/>
    <w:rsid w:val="794D7439"/>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 w:type="character" w:customStyle="1" w:styleId="16">
    <w:name w:val="font11"/>
    <w:basedOn w:val="11"/>
    <w:qFormat/>
    <w:uiPriority w:val="0"/>
    <w:rPr>
      <w:rFonts w:hint="eastAsia" w:ascii="宋体" w:hAnsi="宋体" w:eastAsia="宋体" w:cs="宋体"/>
      <w:color w:val="000000"/>
      <w:sz w:val="22"/>
      <w:szCs w:val="22"/>
      <w:u w:val="none"/>
    </w:rPr>
  </w:style>
  <w:style w:type="character" w:customStyle="1" w:styleId="17">
    <w:name w:val="font01"/>
    <w:basedOn w:val="11"/>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雷厉风行</cp:lastModifiedBy>
  <cp:lastPrinted>2020-09-10T07:03:00Z</cp:lastPrinted>
  <dcterms:modified xsi:type="dcterms:W3CDTF">2021-09-28T11:15:12Z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6CCE958BA6F34CDA828CD483BA033887</vt:lpwstr>
  </property>
</Properties>
</file>