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临时用吊车项目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5</w:t>
      </w:r>
      <w:r>
        <w:rPr>
          <w:rFonts w:ascii="宋体" w:hAnsi="宋体"/>
          <w:color w:val="000000"/>
        </w:rPr>
        <w:t>月</w:t>
      </w:r>
      <w:r>
        <w:rPr>
          <w:rFonts w:hint="eastAsia" w:ascii="宋体" w:hAnsi="宋体"/>
          <w:color w:val="000000"/>
          <w:lang w:val="en-US" w:eastAsia="zh-CN"/>
        </w:rPr>
        <w:t>26</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YSQC202106010LSYDCXM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临时用吊车项目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临时用吊车项目：</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公司各部门临时使用吊车，以吊车吨位分类，按“台班+小时”方式计价。</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合同期：2021年6月28日--2022年6月27日</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18</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伍万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lang w:val="en-US" w:eastAsia="zh-CN"/>
        </w:rPr>
        <w:t>6</w:t>
      </w:r>
      <w:r>
        <w:rPr>
          <w:rFonts w:hint="eastAsia" w:ascii="宋体" w:hAnsi="宋体"/>
          <w:bCs/>
          <w:color w:val="7030A0"/>
        </w:rPr>
        <w:t>月</w:t>
      </w:r>
      <w:r>
        <w:rPr>
          <w:rFonts w:hint="eastAsia" w:ascii="宋体" w:hAnsi="宋体"/>
          <w:bCs/>
          <w:color w:val="7030A0"/>
          <w:u w:val="single"/>
          <w:lang w:val="en-US" w:eastAsia="zh-CN"/>
        </w:rPr>
        <w:t>15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参与投标的单位需为在芜湖市注册成立的公司，要有一定从业经验，开始从事起重吊装业务时间应早于2018年；投标单位自有吊车（公司/法人/股东所有吊车均可视为自有吊车）各型号车辆累加吨位不少于200吨位或自有车辆6部以上，车辆应达到国三及以上排放标准。在报名时应提供车辆信息，如发现信息有假的，取消报名资格。开标时发现材料有假的，取消投标资格，扣除投标保证金；开标后发现信息有假的，取消中标资格，扣除投标保证金。</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2、参与投标的单位应具备独立承担安全事故风险的经济实力,中标后须按我公司《相关方及外用工（单位）安全管理制度》规定办理相关手续，缴纳安全保障金60万，为员工购买人身意外伤害保险，满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3、承揽单位不得将临时吊车业务转让或分包给其他单位，如发现有转让、分包行为，则终止合同，扣除其缴纳的合同履约金。</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需提供进厂作业车辆、人员信息材料，由运输部审核后的车辆、人员方可进厂作业。用车时间紧急、来不及审核的，承揽单位可向运输部先报备再作业，作业后审核车辆、人员信息。承揽单位需提供车辆材料包括在车管所查询的车辆信息、车辆行驶证（车辆照片、正本、副本）扫描件、保险扫描件、年检材料扫描件等；人员材料包括国家质量技术监督局颁发的特殊工种操作证扫描件、操作证的年审记录扫描件、保险扫描件。</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车辆、人员未经审核就进厂作业且未向运输部报备的，一经发现，按2000元/次考核；事后审核发现车辆、人员信息造假的，按5000元/次考核。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揽单位作业人员应具备一定的从业经验，小于100吨吊车操作人员从业时间不少于1年，100吨以上吊车操作人员从业时间限不少于2年；出厂时间10年以上的50吨以下吊车不得进厂作业；为确保车辆信息可查验，原则上应使用芜湖本地牌照车辆。</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无法提供所需车型时可在征得用车部门同意后更换大吨位吊车作业，费用按所需小吨位吊车结算；承揽单位不得以小吨位吊车冒充大吨位吊车，如发现有小吨位吊车冒充大吨位吊车，则本次及之前使用同吨位吊车均不予结算；已经结算的费用，从未结算的费用中扣除，同时扣除承揽单位缴纳的合同履约保证金、将承揽单位该列入公司黑名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7、为避免配重不全配带来安全隐患，所有带配重的吊车原则上需全配悬挂。承揽单位如不带全配重，则需提前查勘作业现场，根据现场情况选择配重，并承担由此带来的安全风险和作业延误的损失。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承揽单位必须具备的保供能力：16吨以下吊车，同时供车不少于3部；25吨吊车同时供车不少于5台；35吨至75吨吊车，同时供车不少于4部；80吨及以上吊车，同时供车不少于2部。运输部提前通知的用车，承揽单位无法满足用车需求时，每少1部车，考核2000元。</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9、一般情况下，运输部在用车前一天向承揽单位通报用车部门、车辆吨位、作业时间等信息，承揽单位车辆人员应及时到场作业。特殊情况下，如遇抢修作业，作业车辆人员应在接到用车通知2小时内到场。</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100吨及以上车辆进场前，承揽单位应提前查勘作业现场，向用车部门提出作业建议，用车部门应配合承揽单位提前整理出作业场地。承揽单位未进场查勘或未能提出作业建议，致使车辆进场后不能立即作业的，则以车辆实际作业时间核算作业时长；如果导致用车部门损失的，承揽单位应予以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承揽单位到达现场后应主动出示车辆起重表、人员操作证，配合用车部门设置防护措施（围栏、警示牌等）。在作业过程中，作业人员应服从用车部门的指挥，严格按安全操作规程作业。用车部门如有违章指挥、违章操作、违反劳动纪律的行为，承揽单位有权中止作业，同时可向公司安监部、运输部投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12、承揽单位车辆、人员进厂后，必须遵守我公司的安全、生产、环保、质量、现场、车辆交通等规章制度。如违反相关规章制度，我公司将依据规章制度给予考核。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费用结算：以月为结算期，承揽单位于每月10日前，出具由用车部门主管领导签字的结算证明，到运输部核算费用，经运输部核算金额后，于15日前开据有效增值税专用发票，一票结算，收票次月付款（转账现汇）。</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p>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8997" w:type="dxa"/>
        <w:jc w:val="center"/>
        <w:tblLayout w:type="fixed"/>
        <w:tblCellMar>
          <w:top w:w="0" w:type="dxa"/>
          <w:left w:w="15" w:type="dxa"/>
          <w:bottom w:w="0" w:type="dxa"/>
          <w:right w:w="15" w:type="dxa"/>
        </w:tblCellMar>
      </w:tblPr>
      <w:tblGrid>
        <w:gridCol w:w="738"/>
        <w:gridCol w:w="1811"/>
        <w:gridCol w:w="1264"/>
        <w:gridCol w:w="1222"/>
        <w:gridCol w:w="1914"/>
        <w:gridCol w:w="2048"/>
      </w:tblGrid>
      <w:tr>
        <w:tblPrEx>
          <w:tblCellMar>
            <w:top w:w="0" w:type="dxa"/>
            <w:left w:w="15" w:type="dxa"/>
            <w:bottom w:w="0" w:type="dxa"/>
            <w:right w:w="15" w:type="dxa"/>
          </w:tblCellMar>
        </w:tblPrEx>
        <w:trPr>
          <w:trHeight w:val="941" w:hRule="atLeast"/>
          <w:jc w:val="center"/>
        </w:trPr>
        <w:tc>
          <w:tcPr>
            <w:tcW w:w="738" w:type="dxa"/>
            <w:tcBorders>
              <w:top w:val="single" w:color="000000" w:sz="4" w:space="0"/>
              <w:left w:val="single" w:color="000000" w:sz="4" w:space="0"/>
              <w:right w:val="single" w:color="000000" w:sz="4" w:space="0"/>
            </w:tcBorders>
            <w:vAlign w:val="center"/>
          </w:tcPr>
          <w:p>
            <w:pPr>
              <w:autoSpaceDN w:val="0"/>
              <w:spacing w:line="240" w:lineRule="auto"/>
              <w:jc w:val="center"/>
              <w:textAlignment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序号</w:t>
            </w:r>
          </w:p>
        </w:tc>
        <w:tc>
          <w:tcPr>
            <w:tcW w:w="1811" w:type="dxa"/>
            <w:tcBorders>
              <w:top w:val="single" w:color="000000" w:sz="4" w:space="0"/>
              <w:left w:val="single" w:color="000000" w:sz="4" w:space="0"/>
              <w:right w:val="single" w:color="000000" w:sz="4" w:space="0"/>
            </w:tcBorders>
            <w:vAlign w:val="center"/>
          </w:tcPr>
          <w:p>
            <w:pPr>
              <w:autoSpaceDN w:val="0"/>
              <w:spacing w:line="240" w:lineRule="auto"/>
              <w:jc w:val="center"/>
              <w:textAlignment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吊车吨位</w:t>
            </w:r>
          </w:p>
        </w:tc>
        <w:tc>
          <w:tcPr>
            <w:tcW w:w="1264"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eastAsia="zh-CN"/>
              </w:rPr>
              <w:t>预计台班数</w:t>
            </w:r>
          </w:p>
        </w:tc>
        <w:tc>
          <w:tcPr>
            <w:tcW w:w="1222" w:type="dxa"/>
            <w:tcBorders>
              <w:top w:val="single" w:color="000000" w:sz="4" w:space="0"/>
              <w:left w:val="single" w:color="000000" w:sz="4" w:space="0"/>
              <w:right w:val="single" w:color="000000" w:sz="4" w:space="0"/>
            </w:tcBorders>
            <w:vAlign w:val="center"/>
          </w:tcPr>
          <w:p>
            <w:pPr>
              <w:autoSpaceDN w:val="0"/>
              <w:spacing w:line="240" w:lineRule="auto"/>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单</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价</w:t>
            </w:r>
            <w:r>
              <w:rPr>
                <w:rFonts w:hint="eastAsia" w:ascii="宋体" w:hAnsi="宋体" w:eastAsia="宋体" w:cs="宋体"/>
                <w:bCs/>
                <w:color w:val="000000"/>
                <w:sz w:val="24"/>
                <w:szCs w:val="24"/>
                <w:lang w:val="en-US" w:eastAsia="zh-CN"/>
              </w:rPr>
              <w:t xml:space="preserve">    </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元/</w:t>
            </w:r>
            <w:r>
              <w:rPr>
                <w:rFonts w:hint="eastAsia" w:ascii="宋体" w:hAnsi="宋体" w:eastAsia="宋体" w:cs="宋体"/>
                <w:bCs/>
                <w:color w:val="000000"/>
                <w:sz w:val="24"/>
                <w:szCs w:val="24"/>
                <w:lang w:eastAsia="zh-CN"/>
              </w:rPr>
              <w:t>台班</w:t>
            </w:r>
          </w:p>
        </w:tc>
        <w:tc>
          <w:tcPr>
            <w:tcW w:w="1914"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auto"/>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费</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用</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元</w:t>
            </w:r>
          </w:p>
        </w:tc>
        <w:tc>
          <w:tcPr>
            <w:tcW w:w="2048"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auto"/>
              <w:jc w:val="center"/>
              <w:textAlignment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备注</w:t>
            </w: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16吨及以下</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285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bidi="ar"/>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firstLineChars="20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预计合同期内台班数为</w:t>
            </w:r>
            <w:r>
              <w:rPr>
                <w:rFonts w:hint="eastAsia" w:ascii="宋体" w:hAnsi="宋体" w:eastAsia="宋体" w:cs="宋体"/>
                <w:color w:val="000000"/>
                <w:kern w:val="0"/>
                <w:sz w:val="24"/>
                <w:szCs w:val="24"/>
                <w:lang w:val="en-US" w:eastAsia="zh-CN" w:bidi="ar"/>
              </w:rPr>
              <w:t>仅作为报价参考。</w:t>
            </w:r>
          </w:p>
          <w:p>
            <w:pPr>
              <w:widowControl/>
              <w:spacing w:line="240" w:lineRule="auto"/>
              <w:ind w:firstLine="480" w:firstLineChars="20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结算</w:t>
            </w:r>
            <w:r>
              <w:rPr>
                <w:rFonts w:hint="eastAsia" w:ascii="宋体" w:hAnsi="宋体" w:eastAsia="宋体" w:cs="宋体"/>
                <w:color w:val="000000"/>
                <w:kern w:val="0"/>
                <w:sz w:val="24"/>
                <w:szCs w:val="24"/>
                <w:lang w:eastAsia="zh-CN" w:bidi="ar"/>
              </w:rPr>
              <w:t>台班数</w:t>
            </w:r>
            <w:r>
              <w:rPr>
                <w:rFonts w:hint="eastAsia" w:ascii="宋体" w:hAnsi="宋体" w:eastAsia="宋体" w:cs="宋体"/>
                <w:color w:val="000000"/>
                <w:kern w:val="0"/>
                <w:sz w:val="24"/>
                <w:szCs w:val="24"/>
                <w:lang w:val="en-US" w:eastAsia="zh-CN" w:bidi="ar"/>
              </w:rPr>
              <w:t>以实际使用为准。</w:t>
            </w:r>
          </w:p>
        </w:tc>
      </w:tr>
      <w:tr>
        <w:tblPrEx>
          <w:tblCellMar>
            <w:top w:w="0" w:type="dxa"/>
            <w:left w:w="15" w:type="dxa"/>
            <w:bottom w:w="0" w:type="dxa"/>
            <w:right w:w="15" w:type="dxa"/>
          </w:tblCellMar>
        </w:tblPrEx>
        <w:trPr>
          <w:trHeight w:val="663"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25吨（不区分4节或5节臂）</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870</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35/40吨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50/55吨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495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70/75吨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80吨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100吨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lang w:val="en-US" w:eastAsia="zh-CN" w:bidi="ar-SA"/>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110/130吨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200/220吨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 w:val="24"/>
                <w:szCs w:val="24"/>
              </w:rPr>
            </w:pPr>
          </w:p>
        </w:tc>
      </w:tr>
      <w:tr>
        <w:tblPrEx>
          <w:tblCellMar>
            <w:top w:w="0" w:type="dxa"/>
            <w:left w:w="15" w:type="dxa"/>
            <w:bottom w:w="0" w:type="dxa"/>
            <w:right w:w="15"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12"/>
              <w:spacing w:line="240" w:lineRule="auto"/>
              <w:ind w:left="0" w:lef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300/350吨</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222"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p>
        </w:tc>
        <w:tc>
          <w:tcPr>
            <w:tcW w:w="1914" w:type="dxa"/>
            <w:tcBorders>
              <w:top w:val="single" w:color="000000"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r>
        <w:tblPrEx>
          <w:tblCellMar>
            <w:top w:w="0" w:type="dxa"/>
            <w:left w:w="15" w:type="dxa"/>
            <w:bottom w:w="0" w:type="dxa"/>
            <w:right w:w="15" w:type="dxa"/>
          </w:tblCellMar>
        </w:tblPrEx>
        <w:trPr>
          <w:trHeight w:val="520" w:hRule="atLeast"/>
          <w:jc w:val="center"/>
        </w:trPr>
        <w:tc>
          <w:tcPr>
            <w:tcW w:w="5035" w:type="dxa"/>
            <w:gridSpan w:val="4"/>
            <w:tcBorders>
              <w:top w:val="single" w:color="000000" w:sz="4" w:space="0"/>
              <w:left w:val="single" w:color="000000" w:sz="4" w:space="0"/>
              <w:bottom w:val="single" w:color="000000" w:sz="4" w:space="0"/>
              <w:right w:val="single" w:color="auto" w:sz="4" w:space="0"/>
            </w:tcBorders>
            <w:vAlign w:val="center"/>
          </w:tcPr>
          <w:p>
            <w:pPr>
              <w:pStyle w:val="12"/>
              <w:spacing w:line="240" w:lineRule="auto"/>
              <w:ind w:left="0" w:lef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合计（元）</w:t>
            </w:r>
          </w:p>
        </w:tc>
        <w:tc>
          <w:tcPr>
            <w:tcW w:w="1914" w:type="dxa"/>
            <w:tcBorders>
              <w:top w:val="single" w:color="000000"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24"/>
                <w:szCs w:val="24"/>
              </w:rPr>
            </w:pPr>
          </w:p>
        </w:tc>
      </w:tr>
    </w:tbl>
    <w:p>
      <w:pPr>
        <w:widowControl w:val="0"/>
        <w:tabs>
          <w:tab w:val="left" w:pos="420"/>
          <w:tab w:val="left" w:pos="630"/>
        </w:tabs>
        <w:spacing w:line="300" w:lineRule="auto"/>
        <w:jc w:val="both"/>
        <w:rPr>
          <w:rFonts w:hint="eastAsia" w:ascii="Times New Roman" w:hAnsi="Times New Roman" w:cs="Times New Roman"/>
          <w:kern w:val="2"/>
          <w:sz w:val="28"/>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备注：</w:t>
      </w:r>
    </w:p>
    <w:p>
      <w:pPr>
        <w:pStyle w:val="3"/>
        <w:keepNext w:val="0"/>
        <w:keepLines w:val="0"/>
        <w:pageBreakBefore w:val="0"/>
        <w:kinsoku/>
        <w:wordWrap/>
        <w:overflowPunct/>
        <w:topLinePunct w:val="0"/>
        <w:autoSpaceDE/>
        <w:autoSpaceDN/>
        <w:bidi w:val="0"/>
        <w:adjustRightInd/>
        <w:snapToGrid/>
        <w:spacing w:before="9"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个台班为8小时，用车时长≤4小时的为0.5台班，4小时＜用车时长≤8小时为1台班；小于100吨的吊车用车时长起步为0.5台班，100吨及以上吊车用车时长起步为1台班，各吨位吊车用车时长超8小时的部分按小时计算，尾数不足1小时的按1小时计算，每小时的单价为台班单价的1/8。</w:t>
      </w:r>
    </w:p>
    <w:p>
      <w:pPr>
        <w:pStyle w:val="3"/>
        <w:keepNext w:val="0"/>
        <w:keepLines w:val="0"/>
        <w:pageBreakBefore w:val="0"/>
        <w:kinsoku/>
        <w:wordWrap/>
        <w:overflowPunct/>
        <w:topLinePunct w:val="0"/>
        <w:autoSpaceDE/>
        <w:autoSpaceDN/>
        <w:bidi w:val="0"/>
        <w:adjustRightInd/>
        <w:snapToGrid/>
        <w:spacing w:before="9"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以用车部门通知的开始作业时间为起始时间核算用车时长，如果车辆到场晚于通知的时间，则以实际开始作业时间为起始时间核算用车时长。</w:t>
      </w:r>
    </w:p>
    <w:p>
      <w:pPr>
        <w:pStyle w:val="3"/>
        <w:keepNext w:val="0"/>
        <w:keepLines w:val="0"/>
        <w:pageBreakBefore w:val="0"/>
        <w:numPr>
          <w:numId w:val="0"/>
        </w:numPr>
        <w:kinsoku/>
        <w:wordWrap/>
        <w:overflowPunct/>
        <w:topLinePunct w:val="0"/>
        <w:autoSpaceDE/>
        <w:autoSpaceDN/>
        <w:bidi w:val="0"/>
        <w:adjustRightInd/>
        <w:snapToGrid/>
        <w:spacing w:before="9" w:line="360" w:lineRule="auto"/>
        <w:ind w:left="285" w:leftChars="0"/>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eastAsia="zh-CN"/>
        </w:rPr>
        <w:t>单位：</w:t>
      </w:r>
      <w:r>
        <w:rPr>
          <w:rFonts w:hint="eastAsia" w:ascii="宋体" w:hAnsi="宋体" w:eastAsia="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26</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3F43CFD"/>
    <w:rsid w:val="055D2EB0"/>
    <w:rsid w:val="0C333A20"/>
    <w:rsid w:val="0C460FFE"/>
    <w:rsid w:val="10772EB5"/>
    <w:rsid w:val="11DE5603"/>
    <w:rsid w:val="13BA318B"/>
    <w:rsid w:val="152B2857"/>
    <w:rsid w:val="16AA6B17"/>
    <w:rsid w:val="1C1D6140"/>
    <w:rsid w:val="1C28711D"/>
    <w:rsid w:val="1F415A0F"/>
    <w:rsid w:val="1FC61767"/>
    <w:rsid w:val="234F5E22"/>
    <w:rsid w:val="23F27268"/>
    <w:rsid w:val="252D19D6"/>
    <w:rsid w:val="25A87FB8"/>
    <w:rsid w:val="25F13BFC"/>
    <w:rsid w:val="26BC6801"/>
    <w:rsid w:val="2D230D73"/>
    <w:rsid w:val="2DFD089F"/>
    <w:rsid w:val="2E34761D"/>
    <w:rsid w:val="2EE5732E"/>
    <w:rsid w:val="30033579"/>
    <w:rsid w:val="32216798"/>
    <w:rsid w:val="323F2693"/>
    <w:rsid w:val="34FF5DC8"/>
    <w:rsid w:val="390D4485"/>
    <w:rsid w:val="3A4B4F63"/>
    <w:rsid w:val="3C09736A"/>
    <w:rsid w:val="3F114200"/>
    <w:rsid w:val="41417945"/>
    <w:rsid w:val="41DB42F4"/>
    <w:rsid w:val="454E4D64"/>
    <w:rsid w:val="46F31726"/>
    <w:rsid w:val="476201D7"/>
    <w:rsid w:val="499C1080"/>
    <w:rsid w:val="4C62699D"/>
    <w:rsid w:val="513C3EF8"/>
    <w:rsid w:val="52904EC4"/>
    <w:rsid w:val="53D27EE3"/>
    <w:rsid w:val="556B3A6A"/>
    <w:rsid w:val="584B20E6"/>
    <w:rsid w:val="589B3C10"/>
    <w:rsid w:val="594C0BD6"/>
    <w:rsid w:val="5B2D6E0C"/>
    <w:rsid w:val="5DA113C7"/>
    <w:rsid w:val="5DA500D7"/>
    <w:rsid w:val="5F7A65EB"/>
    <w:rsid w:val="603E0EA5"/>
    <w:rsid w:val="607D1710"/>
    <w:rsid w:val="62CA5CF7"/>
    <w:rsid w:val="6D663618"/>
    <w:rsid w:val="71CE0F14"/>
    <w:rsid w:val="72735945"/>
    <w:rsid w:val="737502D4"/>
    <w:rsid w:val="74965A4A"/>
    <w:rsid w:val="76892D68"/>
    <w:rsid w:val="77140B96"/>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 w:type="paragraph" w:customStyle="1" w:styleId="12">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2021-05-26T08:31:36Z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9810F037509D4CBD9CAF2585310DCE3B</vt:lpwstr>
  </property>
</Properties>
</file>