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炼铁部料场、铸铁用自卸车项目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12</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YSQC202101003LTBLCZTZXC</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炼铁部料场、铸铁用自卸车项目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负责炼铁部原、燃料倒运（3部三轴或四轴重型自卸车），两座高炉及铸铁渣铁倒运（1部两轴自卸车），厂区内24小时作业。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1</w:t>
      </w:r>
      <w:r>
        <w:rPr>
          <w:rFonts w:ascii="宋体" w:hAnsi="宋体"/>
          <w:b w:val="0"/>
          <w:bCs/>
          <w:color w:val="auto"/>
        </w:rPr>
        <w:t>月</w:t>
      </w:r>
      <w:r>
        <w:rPr>
          <w:rFonts w:hint="eastAsia" w:ascii="宋体" w:hAnsi="宋体"/>
          <w:b w:val="0"/>
          <w:bCs/>
          <w:color w:val="auto"/>
          <w:u w:val="single"/>
          <w:lang w:val="en-US" w:eastAsia="zh-CN"/>
        </w:rPr>
        <w:t>4</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w:t>
      </w:r>
      <w:r>
        <w:rPr>
          <w:rFonts w:ascii="宋体" w:hAnsi="宋体"/>
          <w:b w:val="0"/>
          <w:bCs/>
          <w:color w:val="auto"/>
        </w:rPr>
        <w:t>月</w:t>
      </w:r>
      <w:r>
        <w:rPr>
          <w:rFonts w:hint="eastAsia" w:ascii="宋体" w:hAnsi="宋体"/>
          <w:b w:val="0"/>
          <w:bCs/>
          <w:color w:val="auto"/>
          <w:u w:val="single"/>
          <w:lang w:val="en-US" w:eastAsia="zh-CN"/>
        </w:rPr>
        <w:t xml:space="preserve">7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w:t>
      </w:r>
      <w:r>
        <w:rPr>
          <w:rFonts w:hint="eastAsia" w:ascii="宋体" w:hAnsi="宋体"/>
          <w:bCs/>
          <w:color w:val="7030A0"/>
        </w:rPr>
        <w:t>月</w:t>
      </w:r>
      <w:r>
        <w:rPr>
          <w:rFonts w:hint="eastAsia" w:ascii="宋体" w:hAnsi="宋体"/>
          <w:bCs/>
          <w:color w:val="7030A0"/>
          <w:u w:val="single"/>
          <w:lang w:val="en-US" w:eastAsia="zh-CN"/>
        </w:rPr>
        <w:t>7</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需车辆须符合法律法规要求、符合公司车辆管理要求，定期做好车辆检维修工作，报废车辆一律不得进厂。倒运易扬尘物料车辆需承揽单位自行安装覆盖设备，装车覆盖后方可上路。因承揽单位作业效率不高，或车辆故障维修，致使不能满足生产，承运单位应在规定时间内增加车辆，保障生产经营。</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6、承揽单位须在履约前准备好车辆、作业人员，所有作业人员需接受用车部门安全培训、业务培训后方可上岗。</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7、合同期限：2021年1月29日至2021年6月27日。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w:t>
      </w:r>
    </w:p>
    <w:tbl>
      <w:tblPr>
        <w:tblStyle w:val="8"/>
        <w:tblpPr w:leftFromText="180" w:rightFromText="180" w:vertAnchor="text" w:horzAnchor="page" w:tblpXSpec="center" w:tblpY="386"/>
        <w:tblOverlap w:val="never"/>
        <w:tblW w:w="10218" w:type="dxa"/>
        <w:jc w:val="center"/>
        <w:shd w:val="clear" w:color="auto" w:fill="FFFFFF"/>
        <w:tblLayout w:type="fixed"/>
        <w:tblCellMar>
          <w:top w:w="0" w:type="dxa"/>
          <w:left w:w="0" w:type="dxa"/>
          <w:bottom w:w="0" w:type="dxa"/>
          <w:right w:w="0" w:type="dxa"/>
        </w:tblCellMar>
      </w:tblPr>
      <w:tblGrid>
        <w:gridCol w:w="2117"/>
        <w:gridCol w:w="1784"/>
        <w:gridCol w:w="3330"/>
        <w:gridCol w:w="1398"/>
        <w:gridCol w:w="1589"/>
      </w:tblGrid>
      <w:tr>
        <w:tblPrEx>
          <w:shd w:val="clear" w:color="auto" w:fill="FFFFFF"/>
          <w:tblCellMar>
            <w:top w:w="0" w:type="dxa"/>
            <w:left w:w="0" w:type="dxa"/>
            <w:bottom w:w="0" w:type="dxa"/>
            <w:right w:w="0" w:type="dxa"/>
          </w:tblCellMar>
        </w:tblPrEx>
        <w:trPr>
          <w:trHeight w:val="646" w:hRule="atLeast"/>
          <w:jc w:val="center"/>
        </w:trPr>
        <w:tc>
          <w:tcPr>
            <w:tcW w:w="2117"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w:t>
            </w:r>
          </w:p>
        </w:tc>
        <w:tc>
          <w:tcPr>
            <w:tcW w:w="1784"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车型</w:t>
            </w:r>
          </w:p>
        </w:tc>
        <w:tc>
          <w:tcPr>
            <w:tcW w:w="3330"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结算方式</w:t>
            </w:r>
          </w:p>
        </w:tc>
        <w:tc>
          <w:tcPr>
            <w:tcW w:w="1398"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运输</w:t>
            </w:r>
            <w:r>
              <w:rPr>
                <w:rFonts w:hint="default" w:ascii="宋体" w:hAnsi="宋体" w:eastAsia="宋体" w:cs="宋体"/>
                <w:kern w:val="2"/>
                <w:sz w:val="24"/>
                <w:szCs w:val="24"/>
                <w:vertAlign w:val="baseline"/>
                <w:lang w:val="en-US" w:eastAsia="zh-CN" w:bidi="ar-SA"/>
              </w:rPr>
              <w:t>单价</w:t>
            </w:r>
          </w:p>
        </w:tc>
        <w:tc>
          <w:tcPr>
            <w:tcW w:w="1589"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tblPrEx>
          <w:shd w:val="clear" w:color="auto" w:fill="FFFFFF"/>
          <w:tblCellMar>
            <w:top w:w="0" w:type="dxa"/>
            <w:left w:w="0" w:type="dxa"/>
            <w:bottom w:w="0" w:type="dxa"/>
            <w:right w:w="0" w:type="dxa"/>
          </w:tblCellMar>
        </w:tblPrEx>
        <w:trPr>
          <w:trHeight w:val="1794" w:hRule="atLeast"/>
          <w:jc w:val="center"/>
        </w:trPr>
        <w:tc>
          <w:tcPr>
            <w:tcW w:w="2117"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color w:val="auto"/>
                <w:sz w:val="24"/>
                <w:szCs w:val="24"/>
              </w:rPr>
              <w:t>炼铁</w:t>
            </w:r>
            <w:r>
              <w:rPr>
                <w:rFonts w:hint="eastAsia" w:ascii="宋体" w:hAnsi="宋体" w:cs="宋体"/>
                <w:i w:val="0"/>
                <w:color w:val="auto"/>
                <w:sz w:val="24"/>
                <w:szCs w:val="24"/>
                <w:lang w:eastAsia="zh-CN"/>
              </w:rPr>
              <w:t>部</w:t>
            </w:r>
            <w:r>
              <w:rPr>
                <w:rFonts w:hint="eastAsia" w:ascii="宋体" w:hAnsi="宋体" w:eastAsia="宋体" w:cs="宋体"/>
                <w:i w:val="0"/>
                <w:color w:val="auto"/>
                <w:sz w:val="24"/>
                <w:szCs w:val="24"/>
              </w:rPr>
              <w:t>原</w:t>
            </w:r>
            <w:r>
              <w:rPr>
                <w:rFonts w:hint="eastAsia" w:ascii="宋体" w:hAnsi="宋体" w:cs="宋体"/>
                <w:i w:val="0"/>
                <w:color w:val="auto"/>
                <w:sz w:val="24"/>
                <w:szCs w:val="24"/>
                <w:lang w:eastAsia="zh-CN"/>
              </w:rPr>
              <w:t>、</w:t>
            </w:r>
            <w:r>
              <w:rPr>
                <w:rFonts w:hint="eastAsia" w:ascii="宋体" w:hAnsi="宋体" w:eastAsia="宋体" w:cs="宋体"/>
                <w:i w:val="0"/>
                <w:color w:val="auto"/>
                <w:sz w:val="24"/>
                <w:szCs w:val="24"/>
              </w:rPr>
              <w:t>燃料倒运</w:t>
            </w:r>
            <w:r>
              <w:rPr>
                <w:rFonts w:hint="eastAsia" w:ascii="宋体" w:hAnsi="宋体" w:cs="宋体"/>
                <w:i w:val="0"/>
                <w:color w:val="auto"/>
                <w:sz w:val="24"/>
                <w:szCs w:val="24"/>
                <w:lang w:eastAsia="zh-CN"/>
              </w:rPr>
              <w:t>，两座高炉及</w:t>
            </w:r>
            <w:r>
              <w:rPr>
                <w:rFonts w:hint="eastAsia" w:ascii="宋体" w:hAnsi="宋体" w:eastAsia="宋体" w:cs="宋体"/>
                <w:i w:val="0"/>
                <w:color w:val="auto"/>
                <w:sz w:val="24"/>
                <w:szCs w:val="24"/>
              </w:rPr>
              <w:t>铸铁渣铁倒运</w:t>
            </w:r>
          </w:p>
        </w:tc>
        <w:tc>
          <w:tcPr>
            <w:tcW w:w="1784"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cs="宋体"/>
                <w:i w:val="0"/>
                <w:color w:val="222222"/>
                <w:sz w:val="24"/>
                <w:szCs w:val="24"/>
                <w:lang w:val="en-US" w:eastAsia="zh-CN"/>
              </w:rPr>
              <w:t>3部三轴或四轴自卸车、1部</w:t>
            </w:r>
            <w:r>
              <w:rPr>
                <w:rFonts w:hint="eastAsia" w:ascii="宋体" w:hAnsi="宋体" w:cs="宋体"/>
                <w:i w:val="0"/>
                <w:color w:val="222222"/>
                <w:sz w:val="24"/>
                <w:szCs w:val="24"/>
                <w:lang w:eastAsia="zh-CN"/>
              </w:rPr>
              <w:t>两轴自卸车</w:t>
            </w:r>
          </w:p>
        </w:tc>
        <w:tc>
          <w:tcPr>
            <w:tcW w:w="3330"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结算费用=铁水产量*单价</w:t>
            </w:r>
          </w:p>
          <w:p>
            <w:pPr>
              <w:tabs>
                <w:tab w:val="left" w:pos="420"/>
                <w:tab w:val="left" w:pos="630"/>
              </w:tabs>
              <w:spacing w:line="30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铁</w:t>
            </w:r>
            <w:r>
              <w:rPr>
                <w:rFonts w:hint="default" w:ascii="宋体" w:hAnsi="宋体" w:eastAsia="宋体" w:cs="宋体"/>
                <w:color w:val="auto"/>
                <w:kern w:val="2"/>
                <w:sz w:val="24"/>
                <w:szCs w:val="24"/>
                <w:vertAlign w:val="baseline"/>
                <w:lang w:val="en-US" w:eastAsia="zh-CN" w:bidi="ar-SA"/>
              </w:rPr>
              <w:t>水产量</w:t>
            </w:r>
            <w:r>
              <w:rPr>
                <w:rFonts w:hint="eastAsia" w:ascii="宋体" w:hAnsi="宋体" w:cs="宋体"/>
                <w:color w:val="auto"/>
                <w:kern w:val="2"/>
                <w:sz w:val="24"/>
                <w:szCs w:val="24"/>
                <w:vertAlign w:val="baseline"/>
                <w:lang w:val="en-US" w:eastAsia="zh-CN" w:bidi="ar-SA"/>
              </w:rPr>
              <w:t>月均约23.5万吨</w:t>
            </w:r>
          </w:p>
        </w:tc>
        <w:tc>
          <w:tcPr>
            <w:tcW w:w="1398"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 xml:space="preserve">    </w:t>
            </w:r>
            <w:r>
              <w:rPr>
                <w:rFonts w:hint="default" w:ascii="宋体" w:hAnsi="宋体" w:eastAsia="宋体" w:cs="宋体"/>
                <w:kern w:val="2"/>
                <w:sz w:val="24"/>
                <w:szCs w:val="24"/>
                <w:vertAlign w:val="baseline"/>
                <w:lang w:val="en-US" w:eastAsia="zh-CN" w:bidi="ar-SA"/>
              </w:rPr>
              <w:t>元/吨</w:t>
            </w:r>
          </w:p>
        </w:tc>
        <w:tc>
          <w:tcPr>
            <w:tcW w:w="1589"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both"/>
              <w:rPr>
                <w:rFonts w:hint="eastAsia"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收票</w:t>
            </w:r>
            <w:r>
              <w:rPr>
                <w:rFonts w:hint="eastAsia" w:ascii="宋体" w:hAnsi="宋体" w:eastAsia="宋体" w:cs="宋体"/>
                <w:kern w:val="2"/>
                <w:sz w:val="24"/>
                <w:szCs w:val="24"/>
                <w:vertAlign w:val="baseline"/>
                <w:lang w:val="en-US" w:eastAsia="zh-CN" w:bidi="ar-SA"/>
              </w:rPr>
              <w:t>次月付款（</w:t>
            </w:r>
            <w:r>
              <w:rPr>
                <w:rFonts w:hint="eastAsia" w:ascii="宋体" w:hAnsi="宋体" w:cs="宋体"/>
                <w:kern w:val="2"/>
                <w:sz w:val="24"/>
                <w:szCs w:val="24"/>
                <w:vertAlign w:val="baseline"/>
                <w:lang w:val="en-US" w:eastAsia="zh-CN" w:bidi="ar-SA"/>
              </w:rPr>
              <w:t>转账现汇</w:t>
            </w:r>
            <w:r>
              <w:rPr>
                <w:rFonts w:hint="eastAsia" w:ascii="宋体" w:hAnsi="宋体" w:eastAsia="宋体" w:cs="宋体"/>
                <w:kern w:val="2"/>
                <w:sz w:val="24"/>
                <w:szCs w:val="24"/>
                <w:vertAlign w:val="baseline"/>
                <w:lang w:val="en-US" w:eastAsia="zh-CN" w:bidi="ar-SA"/>
              </w:rPr>
              <w:t>）</w:t>
            </w:r>
          </w:p>
        </w:tc>
      </w:tr>
    </w:tbl>
    <w:p>
      <w:pPr>
        <w:numPr>
          <w:ilvl w:val="0"/>
          <w:numId w:val="0"/>
        </w:numPr>
        <w:spacing w:line="360" w:lineRule="auto"/>
        <w:rPr>
          <w:rFonts w:hint="eastAsia" w:ascii="宋体" w:hAnsi="宋体" w:cs="宋体"/>
          <w:sz w:val="24"/>
          <w:szCs w:val="24"/>
          <w:lang w:val="en-US" w:eastAsia="zh-CN"/>
        </w:rPr>
      </w:pPr>
    </w:p>
    <w:p>
      <w:pPr>
        <w:numPr>
          <w:ilvl w:val="0"/>
          <w:numId w:val="0"/>
        </w:numPr>
        <w:spacing w:line="360" w:lineRule="auto"/>
        <w:rPr>
          <w:rFonts w:hint="eastAsia"/>
          <w:lang w:eastAsia="zh-CN"/>
        </w:rPr>
      </w:pPr>
      <w:r>
        <w:rPr>
          <w:rFonts w:hint="eastAsia" w:ascii="宋体" w:hAnsi="宋体" w:cs="宋体"/>
          <w:sz w:val="24"/>
          <w:szCs w:val="24"/>
          <w:lang w:val="en-US" w:eastAsia="zh-CN"/>
        </w:rPr>
        <w:t>1、当月铁水产量依据芜湖新兴铸管有限责任公司报表数据。</w:t>
      </w:r>
    </w:p>
    <w:p>
      <w:pPr>
        <w:spacing w:line="360" w:lineRule="auto"/>
        <w:rPr>
          <w:rFonts w:hint="eastAsia"/>
          <w:lang w:eastAsia="zh-CN"/>
        </w:rPr>
      </w:pPr>
      <w:r>
        <w:rPr>
          <w:rFonts w:hint="eastAsia"/>
          <w:lang w:eastAsia="zh-CN"/>
        </w:rPr>
        <w:t>日期：</w:t>
      </w:r>
    </w:p>
    <w:p>
      <w:pPr>
        <w:spacing w:line="360" w:lineRule="auto"/>
        <w:rPr>
          <w:rFonts w:hint="eastAsia"/>
          <w:lang w:eastAsia="zh-CN"/>
        </w:rPr>
      </w:pPr>
      <w:r>
        <w:rPr>
          <w:rFonts w:hint="eastAsia"/>
          <w:lang w:eastAsia="zh-CN"/>
        </w:rPr>
        <w:t>单位：</w:t>
      </w: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12</w:t>
      </w:r>
      <w:r>
        <w:rPr>
          <w:rFonts w:ascii="宋体" w:hAnsi="宋体"/>
          <w:color w:val="auto"/>
          <w:sz w:val="24"/>
          <w:szCs w:val="24"/>
        </w:rPr>
        <w:t>月</w:t>
      </w:r>
      <w:r>
        <w:rPr>
          <w:rFonts w:hint="eastAsia" w:ascii="宋体" w:hAnsi="宋体"/>
          <w:color w:val="auto"/>
          <w:sz w:val="24"/>
          <w:szCs w:val="24"/>
          <w:lang w:val="en-US" w:eastAsia="zh-CN"/>
        </w:rPr>
        <w:t>25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A4158D0"/>
    <w:rsid w:val="10772EB5"/>
    <w:rsid w:val="11DE5603"/>
    <w:rsid w:val="13BA318B"/>
    <w:rsid w:val="1C28711D"/>
    <w:rsid w:val="1F415A0F"/>
    <w:rsid w:val="1FC61767"/>
    <w:rsid w:val="234F5E22"/>
    <w:rsid w:val="23F27268"/>
    <w:rsid w:val="252D19D6"/>
    <w:rsid w:val="25A87FB8"/>
    <w:rsid w:val="25F13BFC"/>
    <w:rsid w:val="2BC407A2"/>
    <w:rsid w:val="2D230D73"/>
    <w:rsid w:val="2E34761D"/>
    <w:rsid w:val="30033579"/>
    <w:rsid w:val="323F2693"/>
    <w:rsid w:val="34FF5DC8"/>
    <w:rsid w:val="390D4485"/>
    <w:rsid w:val="3A4B4F63"/>
    <w:rsid w:val="3F114200"/>
    <w:rsid w:val="41417945"/>
    <w:rsid w:val="41DB42F4"/>
    <w:rsid w:val="48962505"/>
    <w:rsid w:val="4C62699D"/>
    <w:rsid w:val="513C3EF8"/>
    <w:rsid w:val="556B3A6A"/>
    <w:rsid w:val="589B3C10"/>
    <w:rsid w:val="5B2D6E0C"/>
    <w:rsid w:val="5DA113C7"/>
    <w:rsid w:val="5DA500D7"/>
    <w:rsid w:val="603E0EA5"/>
    <w:rsid w:val="607D1710"/>
    <w:rsid w:val="62CA5CF7"/>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2020-12-25T08:59:09Z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