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52"/>
          <w:szCs w:val="52"/>
        </w:rPr>
      </w:pPr>
      <w:r>
        <w:rPr>
          <w:rFonts w:hint="eastAsia" w:ascii="黑体" w:eastAsia="黑体"/>
          <w:b/>
          <w:sz w:val="52"/>
          <w:szCs w:val="52"/>
        </w:rPr>
        <w:t>芜湖新兴铸管有限责任公司</w:t>
      </w:r>
    </w:p>
    <w:p>
      <w:pPr>
        <w:jc w:val="center"/>
        <w:rPr>
          <w:rFonts w:ascii="黑体" w:eastAsia="黑体"/>
          <w:b/>
          <w:sz w:val="52"/>
          <w:szCs w:val="52"/>
        </w:rPr>
      </w:pPr>
      <w:r>
        <w:rPr>
          <w:rFonts w:hint="eastAsia" w:ascii="黑体" w:eastAsia="黑体"/>
          <w:b/>
          <w:sz w:val="52"/>
          <w:szCs w:val="52"/>
        </w:rPr>
        <w:t>65MW煤气发电项目</w:t>
      </w:r>
      <w:bookmarkStart w:id="42" w:name="_GoBack"/>
      <w:r>
        <w:rPr>
          <w:rFonts w:hint="eastAsia" w:ascii="黑体" w:eastAsia="黑体"/>
          <w:b/>
          <w:sz w:val="52"/>
          <w:szCs w:val="52"/>
          <w:lang w:eastAsia="zh-CN"/>
        </w:rPr>
        <w:t>过江通廊</w:t>
      </w:r>
      <w:bookmarkEnd w:id="42"/>
    </w:p>
    <w:p>
      <w:pPr>
        <w:jc w:val="center"/>
        <w:rPr>
          <w:rFonts w:ascii="黑体" w:eastAsia="黑体"/>
          <w:b/>
          <w:sz w:val="52"/>
          <w:szCs w:val="52"/>
        </w:rPr>
      </w:pPr>
      <w:r>
        <w:rPr>
          <w:rFonts w:hint="eastAsia" w:ascii="黑体" w:eastAsia="黑体"/>
          <w:b/>
          <w:sz w:val="52"/>
          <w:szCs w:val="52"/>
          <w:lang w:eastAsia="zh-CN"/>
        </w:rPr>
        <w:t>洪评</w:t>
      </w:r>
      <w:r>
        <w:rPr>
          <w:rFonts w:hint="eastAsia" w:ascii="黑体" w:eastAsia="黑体"/>
          <w:b/>
          <w:sz w:val="52"/>
          <w:szCs w:val="52"/>
        </w:rPr>
        <w:t>报告编制及报批</w:t>
      </w:r>
    </w:p>
    <w:p>
      <w:pPr>
        <w:jc w:val="center"/>
        <w:rPr>
          <w:rFonts w:ascii="黑体" w:eastAsia="黑体"/>
          <w:b/>
          <w:sz w:val="52"/>
          <w:szCs w:val="52"/>
        </w:rPr>
      </w:pPr>
    </w:p>
    <w:p>
      <w:pPr>
        <w:jc w:val="center"/>
        <w:rPr>
          <w:rFonts w:ascii="黑体" w:eastAsia="黑体"/>
          <w:b/>
          <w:sz w:val="80"/>
          <w:szCs w:val="80"/>
        </w:rPr>
      </w:pPr>
      <w:r>
        <w:rPr>
          <w:rFonts w:hint="eastAsia" w:ascii="黑体" w:eastAsia="黑体"/>
          <w:b/>
          <w:sz w:val="80"/>
          <w:szCs w:val="80"/>
        </w:rPr>
        <w:t>招</w:t>
      </w:r>
    </w:p>
    <w:p>
      <w:pPr>
        <w:jc w:val="center"/>
        <w:rPr>
          <w:rFonts w:ascii="黑体" w:eastAsia="黑体"/>
          <w:b/>
          <w:sz w:val="80"/>
          <w:szCs w:val="80"/>
        </w:rPr>
      </w:pPr>
      <w:r>
        <w:rPr>
          <w:rFonts w:hint="eastAsia" w:ascii="黑体" w:eastAsia="黑体"/>
          <w:b/>
          <w:sz w:val="80"/>
          <w:szCs w:val="80"/>
        </w:rPr>
        <w:t>标</w:t>
      </w:r>
    </w:p>
    <w:p>
      <w:pPr>
        <w:jc w:val="center"/>
        <w:rPr>
          <w:rFonts w:ascii="黑体" w:eastAsia="黑体"/>
          <w:b/>
          <w:sz w:val="80"/>
          <w:szCs w:val="80"/>
        </w:rPr>
      </w:pPr>
      <w:r>
        <w:rPr>
          <w:rFonts w:hint="eastAsia" w:ascii="黑体" w:eastAsia="黑体"/>
          <w:b/>
          <w:sz w:val="80"/>
          <w:szCs w:val="80"/>
        </w:rPr>
        <w:t>文</w:t>
      </w:r>
    </w:p>
    <w:p>
      <w:pPr>
        <w:jc w:val="center"/>
        <w:rPr>
          <w:rFonts w:ascii="黑体" w:eastAsia="黑体"/>
          <w:b/>
          <w:sz w:val="80"/>
          <w:szCs w:val="80"/>
        </w:rPr>
      </w:pPr>
      <w:r>
        <w:rPr>
          <w:rFonts w:hint="eastAsia" w:ascii="黑体" w:eastAsia="黑体"/>
          <w:b/>
          <w:sz w:val="80"/>
          <w:szCs w:val="80"/>
        </w:rPr>
        <w:t>件</w:t>
      </w:r>
    </w:p>
    <w:p>
      <w:pPr>
        <w:jc w:val="center"/>
        <w:rPr>
          <w:rFonts w:ascii="仿宋_GB2312" w:eastAsia="仿宋_GB2312"/>
          <w:b/>
          <w:sz w:val="32"/>
          <w:szCs w:val="32"/>
        </w:rPr>
      </w:pPr>
    </w:p>
    <w:p>
      <w:pPr>
        <w:jc w:val="center"/>
        <w:rPr>
          <w:rFonts w:ascii="仿宋_GB2312" w:eastAsia="仿宋_GB2312"/>
          <w:b/>
          <w:bCs w:val="0"/>
          <w:color w:val="FF0000"/>
          <w:sz w:val="32"/>
          <w:szCs w:val="32"/>
        </w:rPr>
      </w:pPr>
      <w:r>
        <w:rPr>
          <w:rFonts w:hint="eastAsia" w:ascii="仿宋_GB2312" w:eastAsia="仿宋_GB2312"/>
          <w:b/>
          <w:sz w:val="32"/>
          <w:szCs w:val="32"/>
        </w:rPr>
        <w:t>招标编号：</w:t>
      </w:r>
      <w:r>
        <w:rPr>
          <w:rFonts w:hint="eastAsia" w:ascii="仿宋_GB2312" w:eastAsia="仿宋_GB2312"/>
          <w:b/>
          <w:bCs w:val="0"/>
          <w:sz w:val="28"/>
          <w:szCs w:val="28"/>
        </w:rPr>
        <w:t>WXSS-S16</w:t>
      </w:r>
      <w:r>
        <w:rPr>
          <w:rFonts w:hint="eastAsia" w:ascii="仿宋_GB2312" w:eastAsia="仿宋_GB2312"/>
          <w:b/>
          <w:bCs w:val="0"/>
          <w:sz w:val="28"/>
          <w:szCs w:val="28"/>
          <w:lang w:val="en-US" w:eastAsia="zh-CN"/>
        </w:rPr>
        <w:t>10</w:t>
      </w: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芜湖新兴铸管有限责任公司</w:t>
      </w:r>
    </w:p>
    <w:p>
      <w:pPr>
        <w:jc w:val="center"/>
        <w:rPr>
          <w:rFonts w:ascii="黑体" w:eastAsia="黑体"/>
          <w:b/>
          <w:sz w:val="32"/>
          <w:szCs w:val="32"/>
        </w:rPr>
      </w:pPr>
      <w:r>
        <w:rPr>
          <w:rFonts w:hint="eastAsia" w:ascii="黑体" w:eastAsia="黑体"/>
          <w:b/>
          <w:sz w:val="32"/>
          <w:szCs w:val="32"/>
        </w:rPr>
        <w:t>二零一六年</w:t>
      </w:r>
      <w:r>
        <w:rPr>
          <w:rFonts w:hint="eastAsia" w:ascii="黑体" w:eastAsia="黑体"/>
          <w:b/>
          <w:sz w:val="32"/>
          <w:szCs w:val="32"/>
          <w:lang w:eastAsia="zh-CN"/>
        </w:rPr>
        <w:t>七</w:t>
      </w:r>
      <w:r>
        <w:rPr>
          <w:rFonts w:hint="eastAsia" w:ascii="黑体" w:eastAsia="黑体"/>
          <w:b/>
          <w:sz w:val="32"/>
          <w:szCs w:val="32"/>
        </w:rPr>
        <w:t>月</w:t>
      </w:r>
    </w:p>
    <w:p>
      <w:pPr>
        <w:rPr>
          <w:rFonts w:ascii="黑体" w:eastAsia="黑体"/>
          <w:sz w:val="28"/>
          <w:szCs w:val="28"/>
        </w:rPr>
      </w:pPr>
    </w:p>
    <w:p>
      <w:pPr>
        <w:rPr>
          <w:rFonts w:ascii="黑体" w:eastAsia="黑体"/>
          <w:sz w:val="44"/>
        </w:rPr>
      </w:pPr>
      <w:r>
        <w:rPr>
          <w:rFonts w:hint="eastAsia" w:ascii="黑体" w:eastAsia="黑体"/>
          <w:sz w:val="28"/>
          <w:szCs w:val="28"/>
          <w:lang w:val="en-US" w:eastAsia="zh-CN"/>
        </w:rPr>
        <w:t xml:space="preserve">   </w:t>
      </w:r>
      <w:r>
        <w:rPr>
          <w:rFonts w:hint="eastAsia" w:ascii="黑体" w:eastAsia="黑体"/>
          <w:sz w:val="28"/>
          <w:szCs w:val="28"/>
        </w:rPr>
        <w:t>编制：</w:t>
      </w:r>
      <w:r>
        <w:rPr>
          <w:rFonts w:hint="eastAsia" w:ascii="黑体" w:eastAsia="黑体"/>
          <w:sz w:val="28"/>
          <w:szCs w:val="28"/>
          <w:lang w:val="en-US" w:eastAsia="zh-CN"/>
        </w:rPr>
        <w:t xml:space="preserve">        </w:t>
      </w:r>
      <w:r>
        <w:rPr>
          <w:rFonts w:hint="eastAsia" w:ascii="黑体" w:eastAsia="黑体"/>
          <w:sz w:val="28"/>
          <w:szCs w:val="28"/>
        </w:rPr>
        <w:t xml:space="preserve">         审核：               批准：</w:t>
      </w:r>
      <w:r>
        <w:rPr>
          <w:rFonts w:hint="eastAsia" w:ascii="黑体" w:eastAsia="黑体"/>
          <w:sz w:val="44"/>
        </w:rPr>
        <w:br w:type="page"/>
      </w:r>
      <w:r>
        <w:rPr>
          <w:rFonts w:hint="eastAsia" w:ascii="黑体" w:eastAsia="黑体"/>
          <w:sz w:val="44"/>
        </w:rPr>
        <w:t>目  录</w:t>
      </w:r>
    </w:p>
    <w:p>
      <w:pPr>
        <w:rPr>
          <w:rFonts w:ascii="楷体_GB2312" w:eastAsia="楷体_GB2312"/>
        </w:rPr>
      </w:pPr>
    </w:p>
    <w:p>
      <w:pPr>
        <w:pStyle w:val="13"/>
        <w:tabs>
          <w:tab w:val="right" w:leader="dot" w:pos="8787"/>
        </w:tabs>
        <w:rPr>
          <w:rFonts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TOC \o "1-1" \h  \u </w:instrText>
      </w:r>
      <w:r>
        <w:rPr>
          <w:rFonts w:hint="eastAsia" w:ascii="宋体" w:hAnsi="宋体" w:cs="宋体"/>
          <w:b/>
          <w:bCs/>
          <w:sz w:val="30"/>
          <w:szCs w:val="30"/>
        </w:rPr>
        <w:fldChar w:fldCharType="separate"/>
      </w:r>
      <w:r>
        <w:fldChar w:fldCharType="begin"/>
      </w:r>
      <w:r>
        <w:instrText xml:space="preserve"> HYPERLINK \l "_Toc18272" </w:instrText>
      </w:r>
      <w:r>
        <w:fldChar w:fldCharType="separate"/>
      </w:r>
      <w:r>
        <w:rPr>
          <w:rFonts w:hint="eastAsia" w:ascii="宋体" w:hAnsi="宋体" w:cs="宋体"/>
          <w:b/>
          <w:bCs/>
          <w:sz w:val="30"/>
          <w:szCs w:val="30"/>
        </w:rPr>
        <w:t>第一部分   投标公示</w:t>
      </w:r>
      <w:r>
        <w:rPr>
          <w:rFonts w:hint="eastAsia" w:ascii="宋体" w:hAnsi="宋体" w:cs="宋体"/>
          <w:b/>
          <w:bCs/>
          <w:sz w:val="30"/>
          <w:szCs w:val="30"/>
        </w:rPr>
        <w:tab/>
      </w:r>
      <w:r>
        <w:rPr>
          <w:rFonts w:hint="eastAsia" w:ascii="宋体" w:hAnsi="宋体" w:cs="宋体"/>
          <w:b/>
          <w:bCs/>
          <w:sz w:val="30"/>
          <w:szCs w:val="30"/>
        </w:rPr>
        <w:t>3</w:t>
      </w:r>
      <w:r>
        <w:rPr>
          <w:rFonts w:hint="eastAsia" w:ascii="宋体" w:hAnsi="宋体" w:cs="宋体"/>
          <w:b/>
          <w:bCs/>
          <w:sz w:val="30"/>
          <w:szCs w:val="30"/>
        </w:rPr>
        <w:fldChar w:fldCharType="end"/>
      </w:r>
    </w:p>
    <w:p>
      <w:pPr>
        <w:pStyle w:val="13"/>
        <w:tabs>
          <w:tab w:val="right" w:leader="dot" w:pos="8787"/>
        </w:tabs>
        <w:rPr>
          <w:rFonts w:ascii="宋体" w:hAnsi="宋体" w:cs="宋体"/>
          <w:b/>
          <w:bCs/>
          <w:sz w:val="30"/>
          <w:szCs w:val="30"/>
        </w:rPr>
      </w:pPr>
      <w:r>
        <w:fldChar w:fldCharType="begin"/>
      </w:r>
      <w:r>
        <w:instrText xml:space="preserve"> HYPERLINK \l "_Toc1006" </w:instrText>
      </w:r>
      <w:r>
        <w:fldChar w:fldCharType="separate"/>
      </w:r>
      <w:r>
        <w:rPr>
          <w:rFonts w:hint="eastAsia" w:ascii="宋体" w:hAnsi="宋体" w:cs="宋体"/>
          <w:b/>
          <w:bCs/>
          <w:sz w:val="30"/>
          <w:szCs w:val="30"/>
        </w:rPr>
        <w:t>第二部分   投标人须知</w:t>
      </w:r>
      <w:r>
        <w:rPr>
          <w:rFonts w:hint="eastAsia" w:ascii="宋体" w:hAnsi="宋体" w:cs="宋体"/>
          <w:b/>
          <w:bCs/>
          <w:sz w:val="30"/>
          <w:szCs w:val="30"/>
        </w:rPr>
        <w:tab/>
      </w:r>
      <w:r>
        <w:rPr>
          <w:rFonts w:hint="eastAsia" w:ascii="宋体" w:hAnsi="宋体" w:cs="宋体"/>
          <w:b/>
          <w:bCs/>
          <w:sz w:val="30"/>
          <w:szCs w:val="30"/>
        </w:rPr>
        <w:t>4</w:t>
      </w:r>
      <w:r>
        <w:rPr>
          <w:rFonts w:hint="eastAsia" w:ascii="宋体" w:hAnsi="宋体" w:cs="宋体"/>
          <w:b/>
          <w:bCs/>
          <w:sz w:val="30"/>
          <w:szCs w:val="30"/>
        </w:rPr>
        <w:fldChar w:fldCharType="end"/>
      </w:r>
    </w:p>
    <w:p>
      <w:pPr>
        <w:pStyle w:val="13"/>
        <w:tabs>
          <w:tab w:val="right" w:leader="dot" w:pos="8787"/>
        </w:tabs>
        <w:rPr>
          <w:rFonts w:ascii="宋体" w:hAnsi="宋体" w:cs="宋体"/>
          <w:b/>
          <w:bCs/>
          <w:sz w:val="30"/>
          <w:szCs w:val="30"/>
        </w:rPr>
      </w:pPr>
      <w:r>
        <w:fldChar w:fldCharType="begin"/>
      </w:r>
      <w:r>
        <w:instrText xml:space="preserve"> HYPERLINK \l "_Toc11525" </w:instrText>
      </w:r>
      <w:r>
        <w:fldChar w:fldCharType="separate"/>
      </w:r>
      <w:r>
        <w:rPr>
          <w:rFonts w:hint="eastAsia" w:ascii="宋体" w:hAnsi="宋体" w:cs="宋体"/>
          <w:b/>
          <w:bCs/>
          <w:sz w:val="30"/>
          <w:szCs w:val="30"/>
        </w:rPr>
        <w:t>第三部分   项目技术要求</w:t>
      </w:r>
      <w:r>
        <w:rPr>
          <w:rFonts w:hint="eastAsia" w:ascii="宋体" w:hAnsi="宋体" w:cs="宋体"/>
          <w:b/>
          <w:bCs/>
          <w:sz w:val="30"/>
          <w:szCs w:val="30"/>
        </w:rPr>
        <w:tab/>
      </w:r>
      <w:r>
        <w:rPr>
          <w:rFonts w:hint="eastAsia" w:ascii="宋体" w:hAnsi="宋体" w:cs="宋体"/>
          <w:b/>
          <w:bCs/>
          <w:sz w:val="30"/>
          <w:szCs w:val="30"/>
        </w:rPr>
        <w:t>1</w:t>
      </w:r>
      <w:r>
        <w:rPr>
          <w:rFonts w:hint="eastAsia" w:ascii="宋体" w:hAnsi="宋体" w:cs="宋体"/>
          <w:b/>
          <w:bCs/>
          <w:sz w:val="30"/>
          <w:szCs w:val="30"/>
        </w:rPr>
        <w:fldChar w:fldCharType="end"/>
      </w:r>
      <w:r>
        <w:rPr>
          <w:rFonts w:hint="eastAsia" w:ascii="宋体" w:hAnsi="宋体" w:cs="宋体"/>
          <w:b/>
          <w:bCs/>
          <w:sz w:val="30"/>
          <w:szCs w:val="30"/>
        </w:rPr>
        <w:t>0</w:t>
      </w:r>
    </w:p>
    <w:p>
      <w:pPr>
        <w:pStyle w:val="13"/>
        <w:tabs>
          <w:tab w:val="right" w:leader="dot" w:pos="8787"/>
        </w:tabs>
        <w:rPr>
          <w:rFonts w:ascii="宋体" w:hAnsi="宋体" w:cs="宋体"/>
          <w:b/>
          <w:bCs/>
          <w:sz w:val="30"/>
          <w:szCs w:val="30"/>
        </w:rPr>
      </w:pPr>
      <w:r>
        <w:fldChar w:fldCharType="begin"/>
      </w:r>
      <w:r>
        <w:instrText xml:space="preserve"> HYPERLINK \l "_Toc8176" </w:instrText>
      </w:r>
      <w:r>
        <w:fldChar w:fldCharType="separate"/>
      </w:r>
      <w:r>
        <w:rPr>
          <w:rFonts w:hint="eastAsia" w:ascii="宋体" w:hAnsi="宋体" w:cs="宋体"/>
          <w:b/>
          <w:bCs/>
          <w:sz w:val="30"/>
          <w:szCs w:val="30"/>
        </w:rPr>
        <w:t>第四部分   投标文件的组成</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_Toc8176 </w:instrText>
      </w:r>
      <w:r>
        <w:rPr>
          <w:rFonts w:hint="eastAsia" w:ascii="宋体" w:hAnsi="宋体" w:cs="宋体"/>
          <w:b/>
          <w:bCs/>
          <w:sz w:val="30"/>
          <w:szCs w:val="30"/>
        </w:rPr>
        <w:fldChar w:fldCharType="separate"/>
      </w:r>
      <w:r>
        <w:rPr>
          <w:rFonts w:hint="eastAsia" w:ascii="宋体" w:hAnsi="宋体" w:cs="宋体"/>
          <w:b/>
          <w:bCs/>
          <w:sz w:val="30"/>
          <w:szCs w:val="30"/>
        </w:rPr>
        <w:t>11</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13"/>
        <w:tabs>
          <w:tab w:val="right" w:leader="dot" w:pos="8787"/>
        </w:tabs>
        <w:rPr>
          <w:rFonts w:ascii="宋体" w:hAnsi="宋体" w:cs="宋体"/>
          <w:b/>
          <w:bCs/>
          <w:sz w:val="30"/>
          <w:szCs w:val="30"/>
        </w:rPr>
      </w:pPr>
      <w:r>
        <w:fldChar w:fldCharType="begin"/>
      </w:r>
      <w:r>
        <w:instrText xml:space="preserve"> HYPERLINK \l "_Toc6636" </w:instrText>
      </w:r>
      <w:r>
        <w:fldChar w:fldCharType="separate"/>
      </w:r>
      <w:r>
        <w:rPr>
          <w:rFonts w:hint="eastAsia" w:ascii="宋体" w:hAnsi="宋体" w:cs="宋体"/>
          <w:b/>
          <w:bCs/>
          <w:sz w:val="30"/>
          <w:szCs w:val="30"/>
        </w:rPr>
        <w:t>第五部分   评标办法</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_Toc6636 </w:instrText>
      </w:r>
      <w:r>
        <w:rPr>
          <w:rFonts w:hint="eastAsia" w:ascii="宋体" w:hAnsi="宋体" w:cs="宋体"/>
          <w:b/>
          <w:bCs/>
          <w:sz w:val="30"/>
          <w:szCs w:val="30"/>
        </w:rPr>
        <w:fldChar w:fldCharType="separate"/>
      </w:r>
      <w:r>
        <w:rPr>
          <w:rFonts w:hint="eastAsia" w:ascii="宋体" w:hAnsi="宋体" w:cs="宋体"/>
          <w:b/>
          <w:bCs/>
          <w:sz w:val="30"/>
          <w:szCs w:val="30"/>
        </w:rPr>
        <w:t>12</w:t>
      </w:r>
      <w:r>
        <w:rPr>
          <w:rFonts w:hint="eastAsia" w:ascii="宋体" w:hAnsi="宋体" w:cs="宋体"/>
          <w:b/>
          <w:bCs/>
          <w:sz w:val="30"/>
          <w:szCs w:val="30"/>
        </w:rPr>
        <w:fldChar w:fldCharType="end"/>
      </w:r>
      <w:r>
        <w:rPr>
          <w:rFonts w:hint="eastAsia" w:ascii="宋体" w:hAnsi="宋体" w:cs="宋体"/>
          <w:b/>
          <w:bCs/>
          <w:sz w:val="30"/>
          <w:szCs w:val="30"/>
        </w:rPr>
        <w:fldChar w:fldCharType="end"/>
      </w:r>
    </w:p>
    <w:p>
      <w:r>
        <w:rPr>
          <w:rFonts w:hint="eastAsia" w:ascii="宋体" w:hAnsi="宋体" w:cs="宋体"/>
          <w:b/>
          <w:bCs/>
          <w:sz w:val="30"/>
          <w:szCs w:val="30"/>
        </w:rPr>
        <w:fldChar w:fldCharType="end"/>
      </w:r>
    </w:p>
    <w:p>
      <w:pPr>
        <w:rPr>
          <w:rFonts w:ascii="黑体" w:eastAsia="黑体"/>
          <w:sz w:val="32"/>
          <w:szCs w:val="32"/>
        </w:rPr>
      </w:pPr>
    </w:p>
    <w:p>
      <w:pPr>
        <w:jc w:val="center"/>
        <w:sectPr>
          <w:footerReference r:id="rId5" w:type="first"/>
          <w:footerReference r:id="rId3" w:type="default"/>
          <w:footerReference r:id="rId4" w:type="even"/>
          <w:pgSz w:w="11906" w:h="16838"/>
          <w:pgMar w:top="1418" w:right="1418" w:bottom="1418" w:left="1701" w:header="851" w:footer="992" w:gutter="0"/>
          <w:pgNumType w:start="1"/>
          <w:cols w:space="720" w:num="1"/>
          <w:titlePg/>
          <w:docGrid w:type="lines" w:linePitch="312" w:charSpace="0"/>
        </w:sectPr>
      </w:pPr>
    </w:p>
    <w:p>
      <w:pPr>
        <w:pStyle w:val="2"/>
        <w:numPr>
          <w:ilvl w:val="0"/>
          <w:numId w:val="0"/>
        </w:numPr>
        <w:tabs>
          <w:tab w:val="clear" w:pos="360"/>
        </w:tabs>
        <w:jc w:val="center"/>
        <w:rPr>
          <w:rFonts w:ascii="黑体" w:hAnsi="黑体" w:eastAsia="黑体" w:cs="黑体"/>
          <w:sz w:val="32"/>
          <w:szCs w:val="32"/>
        </w:rPr>
      </w:pPr>
      <w:bookmarkStart w:id="0" w:name="_Toc12240"/>
      <w:bookmarkStart w:id="1" w:name="_Toc18272"/>
      <w:r>
        <w:rPr>
          <w:rFonts w:hint="eastAsia" w:ascii="黑体" w:hAnsi="黑体" w:eastAsia="黑体" w:cs="黑体"/>
          <w:sz w:val="32"/>
          <w:szCs w:val="32"/>
        </w:rPr>
        <w:t>第一部分   投标</w:t>
      </w:r>
      <w:bookmarkEnd w:id="0"/>
      <w:r>
        <w:rPr>
          <w:rFonts w:hint="eastAsia" w:ascii="黑体" w:hAnsi="黑体" w:eastAsia="黑体" w:cs="黑体"/>
          <w:sz w:val="32"/>
          <w:szCs w:val="32"/>
        </w:rPr>
        <w:t>公示</w:t>
      </w:r>
      <w:bookmarkEnd w:id="1"/>
    </w:p>
    <w:p>
      <w:pPr>
        <w:spacing w:before="240" w:line="360" w:lineRule="auto"/>
        <w:ind w:firstLine="480"/>
        <w:rPr>
          <w:rFonts w:ascii="仿宋_GB2312" w:eastAsia="仿宋_GB2312"/>
          <w:sz w:val="24"/>
        </w:rPr>
      </w:pPr>
      <w:r>
        <w:rPr>
          <w:rFonts w:hint="eastAsia" w:ascii="仿宋_GB2312" w:eastAsia="仿宋_GB2312"/>
          <w:sz w:val="24"/>
        </w:rPr>
        <w:t>芜湖新兴铸管有限责任公司</w:t>
      </w:r>
      <w:r>
        <w:rPr>
          <w:rFonts w:hint="eastAsia" w:ascii="仿宋_GB2312" w:hAnsi="宋体" w:eastAsia="仿宋_GB2312"/>
          <w:sz w:val="24"/>
        </w:rPr>
        <w:t>为新兴铸管股份有限公司的全资子公司。本案要求根据招标方提供的资料，编制芜湖新兴65MW煤气发电项目</w:t>
      </w:r>
      <w:r>
        <w:rPr>
          <w:rFonts w:hint="eastAsia" w:ascii="仿宋_GB2312" w:hAnsi="宋体" w:eastAsia="仿宋_GB2312"/>
          <w:sz w:val="24"/>
          <w:lang w:eastAsia="zh-CN"/>
        </w:rPr>
        <w:t>过江通廊洪评</w:t>
      </w:r>
      <w:r>
        <w:rPr>
          <w:rFonts w:hint="eastAsia" w:ascii="仿宋_GB2312" w:hAnsi="宋体" w:eastAsia="仿宋_GB2312"/>
          <w:sz w:val="24"/>
        </w:rPr>
        <w:t>报告，组织评审会并拿到政府相关部门的批文，本次招标采用工程总承包（包括文本编制、会务组织、专家咨询等各项费用，并拿到政府相关部门的批文）。</w:t>
      </w:r>
      <w:r>
        <w:rPr>
          <w:rFonts w:hint="eastAsia" w:ascii="仿宋_GB2312" w:eastAsia="仿宋_GB2312"/>
          <w:sz w:val="24"/>
        </w:rPr>
        <w:t>望具有承接本招标项目的相应资质及能力的单位参加投标。请持投标规格书到芜湖新兴铸管有限责任公司在规定时间内按照要求（见附表）进行投标。</w:t>
      </w:r>
    </w:p>
    <w:p>
      <w:pPr>
        <w:spacing w:before="240" w:line="360" w:lineRule="auto"/>
        <w:ind w:firstLine="480"/>
        <w:rPr>
          <w:rFonts w:ascii="仿宋_GB2312" w:hAnsi="宋体" w:eastAsia="仿宋_GB2312"/>
          <w:sz w:val="24"/>
        </w:rPr>
      </w:pPr>
      <w:r>
        <w:rPr>
          <w:rFonts w:hint="eastAsia" w:ascii="仿宋_GB2312" w:hAnsi="宋体" w:eastAsia="仿宋_GB2312"/>
          <w:sz w:val="24"/>
        </w:rPr>
        <w:t>1．项目名称：芜湖新兴65MW煤气发电项目</w:t>
      </w:r>
      <w:r>
        <w:rPr>
          <w:rFonts w:hint="eastAsia" w:ascii="仿宋_GB2312" w:hAnsi="宋体" w:eastAsia="仿宋_GB2312"/>
          <w:sz w:val="24"/>
          <w:lang w:eastAsia="zh-CN"/>
        </w:rPr>
        <w:t>过江通廊洪评</w:t>
      </w:r>
      <w:r>
        <w:rPr>
          <w:rFonts w:hint="eastAsia" w:ascii="仿宋_GB2312" w:hAnsi="宋体" w:eastAsia="仿宋_GB2312"/>
          <w:sz w:val="24"/>
        </w:rPr>
        <w:t>报告</w:t>
      </w:r>
    </w:p>
    <w:p>
      <w:pPr>
        <w:spacing w:before="240" w:line="360" w:lineRule="auto"/>
        <w:ind w:firstLine="480"/>
        <w:rPr>
          <w:rFonts w:hint="eastAsia" w:ascii="仿宋_GB2312" w:hAnsi="宋体" w:eastAsia="仿宋_GB2312"/>
          <w:sz w:val="24"/>
          <w:lang w:eastAsia="zh-CN"/>
        </w:rPr>
      </w:pPr>
      <w:r>
        <w:rPr>
          <w:rFonts w:hint="eastAsia" w:ascii="仿宋_GB2312" w:hAnsi="宋体" w:eastAsia="仿宋_GB2312"/>
          <w:sz w:val="24"/>
        </w:rPr>
        <w:t>2．项目介绍：芜湖新兴</w:t>
      </w:r>
      <w:r>
        <w:rPr>
          <w:rFonts w:hint="eastAsia" w:ascii="仿宋_GB2312" w:hAnsi="宋体" w:eastAsia="仿宋_GB2312"/>
          <w:sz w:val="24"/>
          <w:lang w:eastAsia="zh-CN"/>
        </w:rPr>
        <w:t>新建</w:t>
      </w:r>
      <w:r>
        <w:rPr>
          <w:rFonts w:hint="eastAsia" w:ascii="仿宋_GB2312" w:hAnsi="宋体" w:eastAsia="仿宋_GB2312"/>
          <w:sz w:val="24"/>
        </w:rPr>
        <w:t>65MW煤气发电项目</w:t>
      </w:r>
      <w:r>
        <w:rPr>
          <w:rFonts w:hint="eastAsia" w:ascii="仿宋_GB2312" w:hAnsi="宋体" w:eastAsia="仿宋_GB2312"/>
          <w:sz w:val="24"/>
          <w:lang w:eastAsia="zh-CN"/>
        </w:rPr>
        <w:t>，项目建设地点位于芜湖大桥综合经济开发区高安街道裕民村内，与芜湖新兴铸管有限责任公司主厂区相隔一条小江，项目所需的各种能源介质均从主厂区供应，需要在小江上空建设一趟管廊横穿小江，在小江河道内规划建设四个支柱支撑管廊，支柱直径</w:t>
      </w:r>
      <w:r>
        <w:rPr>
          <w:rFonts w:hint="eastAsia" w:ascii="仿宋_GB2312" w:hAnsi="宋体" w:eastAsia="仿宋_GB2312"/>
          <w:sz w:val="24"/>
          <w:lang w:val="en-US" w:eastAsia="zh-CN"/>
        </w:rPr>
        <w:t>1.8m，跨小江管廊长度约为325m。项目建设需要做防洪评价报告。</w:t>
      </w:r>
    </w:p>
    <w:p>
      <w:pPr>
        <w:spacing w:before="240" w:line="360" w:lineRule="auto"/>
        <w:rPr>
          <w:rFonts w:ascii="仿宋_GB2312" w:hAnsi="宋体" w:eastAsia="仿宋_GB2312"/>
          <w:sz w:val="24"/>
        </w:rPr>
      </w:pPr>
      <w:r>
        <w:rPr>
          <w:rFonts w:hint="eastAsia" w:ascii="仿宋_GB2312" w:hAnsi="宋体" w:eastAsia="仿宋_GB2312"/>
          <w:sz w:val="24"/>
        </w:rPr>
        <w:t xml:space="preserve">    3．资质、资格要求：</w:t>
      </w:r>
    </w:p>
    <w:p>
      <w:pPr>
        <w:spacing w:before="240" w:line="360" w:lineRule="auto"/>
        <w:ind w:firstLine="480"/>
        <w:rPr>
          <w:rFonts w:ascii="仿宋_GB2312" w:hAnsi="宋体" w:eastAsia="仿宋_GB2312"/>
          <w:sz w:val="24"/>
        </w:rPr>
      </w:pPr>
      <w:r>
        <w:rPr>
          <w:rFonts w:hint="eastAsia" w:ascii="仿宋_GB2312" w:hAnsi="宋体" w:eastAsia="仿宋_GB2312"/>
          <w:sz w:val="24"/>
        </w:rPr>
        <w:t>报告编制单位的资质、资格需经</w:t>
      </w:r>
      <w:r>
        <w:rPr>
          <w:rFonts w:hint="eastAsia" w:ascii="仿宋_GB2312" w:hAnsi="宋体" w:eastAsia="仿宋_GB2312"/>
          <w:sz w:val="24"/>
          <w:lang w:eastAsia="zh-CN"/>
        </w:rPr>
        <w:t>政府审批</w:t>
      </w:r>
      <w:r>
        <w:rPr>
          <w:rFonts w:hint="eastAsia" w:ascii="仿宋_GB2312" w:hAnsi="宋体" w:eastAsia="仿宋_GB2312"/>
          <w:sz w:val="24"/>
        </w:rPr>
        <w:t>相关部门认可，资质等级不限。</w:t>
      </w:r>
    </w:p>
    <w:p>
      <w:pPr>
        <w:spacing w:before="240" w:line="360" w:lineRule="auto"/>
        <w:rPr>
          <w:rFonts w:ascii="仿宋_GB2312" w:hAnsi="宋体" w:eastAsia="仿宋_GB2312"/>
          <w:sz w:val="24"/>
          <w:lang w:val="zh-CN"/>
        </w:rPr>
      </w:pPr>
      <w:r>
        <w:rPr>
          <w:rFonts w:hint="eastAsia" w:ascii="仿宋_GB2312" w:hAnsi="宋体" w:eastAsia="仿宋_GB2312"/>
          <w:sz w:val="24"/>
        </w:rPr>
        <w:t xml:space="preserve">    4、</w:t>
      </w:r>
      <w:r>
        <w:rPr>
          <w:rFonts w:hint="eastAsia" w:ascii="仿宋_GB2312" w:hAnsi="宋体" w:eastAsia="仿宋_GB2312"/>
          <w:sz w:val="24"/>
          <w:lang w:val="zh-CN"/>
        </w:rPr>
        <w:t>投标截止时间</w:t>
      </w:r>
      <w:r>
        <w:rPr>
          <w:rFonts w:hint="eastAsia" w:ascii="仿宋_GB2312" w:hAnsi="宋体" w:eastAsia="仿宋_GB2312"/>
          <w:sz w:val="24"/>
        </w:rPr>
        <w:t>：2016年7月1</w:t>
      </w:r>
      <w:r>
        <w:rPr>
          <w:rFonts w:hint="eastAsia" w:ascii="仿宋_GB2312" w:hAnsi="宋体" w:eastAsia="仿宋_GB2312"/>
          <w:sz w:val="24"/>
          <w:lang w:val="en-US" w:eastAsia="zh-CN"/>
        </w:rPr>
        <w:t>5</w:t>
      </w:r>
      <w:r>
        <w:rPr>
          <w:rFonts w:hint="eastAsia" w:ascii="仿宋_GB2312" w:hAnsi="宋体" w:eastAsia="仿宋_GB2312"/>
          <w:sz w:val="24"/>
        </w:rPr>
        <w:t>日9:00时</w:t>
      </w:r>
      <w:r>
        <w:rPr>
          <w:rFonts w:hint="eastAsia" w:ascii="仿宋_GB2312" w:hAnsi="宋体" w:eastAsia="仿宋_GB2312"/>
          <w:sz w:val="24"/>
          <w:lang w:val="zh-CN"/>
        </w:rPr>
        <w:t>。</w:t>
      </w:r>
    </w:p>
    <w:p>
      <w:pPr>
        <w:spacing w:before="240" w:line="360" w:lineRule="auto"/>
        <w:rPr>
          <w:rFonts w:ascii="仿宋_GB2312" w:hAnsi="宋体" w:eastAsia="仿宋_GB2312"/>
          <w:sz w:val="24"/>
        </w:rPr>
      </w:pPr>
      <w:r>
        <w:rPr>
          <w:rFonts w:hint="eastAsia" w:ascii="仿宋_GB2312" w:hAnsi="宋体" w:eastAsia="仿宋_GB2312"/>
          <w:sz w:val="24"/>
        </w:rPr>
        <w:t xml:space="preserve">    5、联系人： 尹红强 ， 电话：0553-56</w:t>
      </w:r>
      <w:r>
        <w:rPr>
          <w:rFonts w:hint="eastAsia" w:ascii="仿宋_GB2312" w:hAnsi="宋体" w:eastAsia="仿宋_GB2312"/>
          <w:sz w:val="24"/>
          <w:lang w:val="en-US" w:eastAsia="zh-CN"/>
        </w:rPr>
        <w:t>98527</w:t>
      </w:r>
      <w:r>
        <w:rPr>
          <w:rFonts w:hint="eastAsia" w:ascii="仿宋_GB2312" w:hAnsi="宋体" w:eastAsia="仿宋_GB2312"/>
          <w:sz w:val="24"/>
        </w:rPr>
        <w:t>，邮箱：</w:t>
      </w:r>
      <w:r>
        <w:fldChar w:fldCharType="begin"/>
      </w:r>
      <w:r>
        <w:instrText xml:space="preserve"> HYPERLINK "mailto:13866396573@qq.com" </w:instrText>
      </w:r>
      <w:r>
        <w:fldChar w:fldCharType="separate"/>
      </w:r>
      <w:r>
        <w:rPr>
          <w:rFonts w:hint="eastAsia" w:ascii="仿宋_GB2312" w:hAnsi="宋体" w:eastAsia="仿宋_GB2312"/>
          <w:sz w:val="24"/>
        </w:rPr>
        <w:t>yhq325@163.com</w:t>
      </w:r>
      <w:r>
        <w:rPr>
          <w:rFonts w:hint="eastAsia" w:ascii="仿宋_GB2312" w:hAnsi="宋体" w:eastAsia="仿宋_GB2312"/>
          <w:sz w:val="24"/>
        </w:rPr>
        <w:fldChar w:fldCharType="end"/>
      </w:r>
      <w:r>
        <w:rPr>
          <w:rFonts w:hint="eastAsia" w:ascii="仿宋_GB2312" w:hAnsi="宋体" w:eastAsia="仿宋_GB2312"/>
          <w:sz w:val="24"/>
        </w:rPr>
        <w:t>，传真：0553-5627134</w:t>
      </w:r>
    </w:p>
    <w:p>
      <w:pPr>
        <w:spacing w:before="240" w:line="360" w:lineRule="auto"/>
        <w:ind w:firstLine="480"/>
        <w:jc w:val="right"/>
        <w:rPr>
          <w:rFonts w:ascii="仿宋_GB2312" w:hAnsi="宋体" w:eastAsia="仿宋_GB2312"/>
          <w:sz w:val="24"/>
        </w:rPr>
      </w:pPr>
    </w:p>
    <w:p>
      <w:pPr>
        <w:spacing w:before="240" w:line="360" w:lineRule="auto"/>
        <w:ind w:firstLine="480"/>
        <w:jc w:val="right"/>
        <w:rPr>
          <w:rFonts w:ascii="仿宋_GB2312" w:hAnsi="宋体" w:eastAsia="仿宋_GB2312"/>
          <w:sz w:val="24"/>
        </w:rPr>
      </w:pPr>
      <w:r>
        <w:rPr>
          <w:rFonts w:hint="eastAsia" w:ascii="仿宋_GB2312" w:hAnsi="宋体" w:eastAsia="仿宋_GB2312"/>
          <w:sz w:val="24"/>
        </w:rPr>
        <w:t>招标人： 芜湖新兴铸管有限责任公司</w:t>
      </w:r>
    </w:p>
    <w:p>
      <w:pPr>
        <w:spacing w:before="240" w:line="360" w:lineRule="auto"/>
        <w:ind w:firstLine="480"/>
        <w:jc w:val="right"/>
        <w:rPr>
          <w:rFonts w:ascii="仿宋_GB2312" w:hAnsi="宋体" w:eastAsia="仿宋_GB2312"/>
          <w:sz w:val="24"/>
        </w:rPr>
      </w:pPr>
      <w:r>
        <w:rPr>
          <w:rFonts w:hint="eastAsia" w:ascii="仿宋_GB2312" w:hAnsi="宋体" w:eastAsia="仿宋_GB2312"/>
          <w:sz w:val="24"/>
        </w:rPr>
        <w:t xml:space="preserve">  二○一六年</w:t>
      </w:r>
      <w:r>
        <w:rPr>
          <w:rFonts w:hint="eastAsia" w:ascii="仿宋_GB2312" w:hAnsi="宋体" w:eastAsia="仿宋_GB2312"/>
          <w:sz w:val="24"/>
          <w:lang w:eastAsia="zh-CN"/>
        </w:rPr>
        <w:t>七</w:t>
      </w:r>
      <w:r>
        <w:rPr>
          <w:rFonts w:hint="eastAsia" w:ascii="仿宋_GB2312" w:hAnsi="宋体" w:eastAsia="仿宋_GB2312"/>
          <w:sz w:val="24"/>
        </w:rPr>
        <w:t>月</w:t>
      </w:r>
      <w:r>
        <w:rPr>
          <w:rFonts w:hint="eastAsia" w:ascii="仿宋_GB2312" w:hAnsi="宋体" w:eastAsia="仿宋_GB2312"/>
          <w:sz w:val="24"/>
          <w:lang w:eastAsia="zh-CN"/>
        </w:rPr>
        <w:t>七</w:t>
      </w:r>
      <w:r>
        <w:rPr>
          <w:rFonts w:hint="eastAsia" w:ascii="仿宋_GB2312" w:hAnsi="宋体" w:eastAsia="仿宋_GB2312"/>
          <w:sz w:val="24"/>
        </w:rPr>
        <w:t>日</w:t>
      </w:r>
    </w:p>
    <w:p>
      <w:pPr>
        <w:spacing w:before="240" w:line="360" w:lineRule="auto"/>
        <w:ind w:firstLine="480"/>
        <w:rPr>
          <w:rFonts w:ascii="仿宋_GB2312" w:hAnsi="宋体" w:eastAsia="仿宋_GB2312"/>
          <w:sz w:val="24"/>
        </w:rPr>
      </w:pPr>
    </w:p>
    <w:p>
      <w:pPr>
        <w:pStyle w:val="2"/>
        <w:numPr>
          <w:ilvl w:val="0"/>
          <w:numId w:val="0"/>
        </w:numPr>
        <w:tabs>
          <w:tab w:val="clear" w:pos="360"/>
        </w:tabs>
        <w:jc w:val="center"/>
        <w:rPr>
          <w:rFonts w:ascii="黑体" w:hAnsi="黑体" w:eastAsia="黑体" w:cs="黑体"/>
          <w:sz w:val="32"/>
          <w:szCs w:val="32"/>
        </w:rPr>
      </w:pPr>
      <w:r>
        <w:rPr>
          <w:rFonts w:hint="eastAsia" w:ascii="仿宋_GB2312" w:hAnsi="宋体" w:eastAsia="仿宋_GB2312"/>
        </w:rPr>
        <w:br w:type="page"/>
      </w:r>
      <w:bookmarkStart w:id="2" w:name="_Toc1006"/>
      <w:bookmarkStart w:id="3" w:name="_Toc32464"/>
      <w:r>
        <w:rPr>
          <w:rFonts w:hint="eastAsia" w:ascii="黑体" w:hAnsi="黑体" w:eastAsia="黑体" w:cs="黑体"/>
          <w:sz w:val="32"/>
          <w:szCs w:val="32"/>
        </w:rPr>
        <w:t>第二部分   投标人须知</w:t>
      </w:r>
      <w:bookmarkEnd w:id="2"/>
      <w:bookmarkEnd w:id="3"/>
    </w:p>
    <w:p>
      <w:pPr>
        <w:spacing w:line="400" w:lineRule="exact"/>
        <w:jc w:val="center"/>
        <w:rPr>
          <w:rFonts w:ascii="仿宋_GB2312" w:eastAsia="仿宋_GB2312"/>
          <w:b/>
          <w:sz w:val="24"/>
        </w:rPr>
      </w:pPr>
      <w:r>
        <w:rPr>
          <w:rFonts w:hint="eastAsia" w:ascii="黑体" w:eastAsia="黑体"/>
          <w:sz w:val="32"/>
          <w:szCs w:val="32"/>
        </w:rPr>
        <w:t>投标人须知前附表</w:t>
      </w:r>
    </w:p>
    <w:tbl>
      <w:tblPr>
        <w:tblStyle w:val="20"/>
        <w:tblpPr w:leftFromText="180" w:rightFromText="180" w:vertAnchor="text" w:horzAnchor="page" w:tblpX="1785" w:tblpY="298"/>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68"/>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ind w:left="153"/>
              <w:rPr>
                <w:rFonts w:ascii="仿宋_GB2312" w:hAnsi="宋体" w:eastAsia="仿宋_GB2312"/>
                <w:spacing w:val="-16"/>
                <w:sz w:val="24"/>
              </w:rPr>
            </w:pPr>
            <w:r>
              <w:rPr>
                <w:rFonts w:hint="eastAsia" w:ascii="仿宋_GB2312" w:hAnsi="宋体" w:eastAsia="仿宋_GB2312"/>
                <w:spacing w:val="-16"/>
                <w:sz w:val="24"/>
              </w:rPr>
              <w:t>项号</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内   容</w:t>
            </w:r>
          </w:p>
        </w:tc>
        <w:tc>
          <w:tcPr>
            <w:tcW w:w="6672" w:type="dxa"/>
            <w:vAlign w:val="center"/>
          </w:tcPr>
          <w:p>
            <w:pPr>
              <w:ind w:left="153"/>
              <w:jc w:val="center"/>
              <w:rPr>
                <w:rFonts w:ascii="仿宋_GB2312" w:hAnsi="宋体" w:eastAsia="仿宋_GB2312"/>
                <w:sz w:val="24"/>
              </w:rPr>
            </w:pPr>
            <w:r>
              <w:rPr>
                <w:rFonts w:hint="eastAsia" w:ascii="仿宋_GB2312" w:hAnsi="宋体" w:eastAsia="仿宋_GB2312"/>
                <w:sz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工程名称</w:t>
            </w:r>
          </w:p>
        </w:tc>
        <w:tc>
          <w:tcPr>
            <w:tcW w:w="6672" w:type="dxa"/>
            <w:vAlign w:val="center"/>
          </w:tcPr>
          <w:p>
            <w:pPr>
              <w:spacing w:line="360" w:lineRule="auto"/>
              <w:ind w:right="-514" w:rightChars="-245"/>
              <w:rPr>
                <w:rFonts w:ascii="仿宋_GB2312" w:hAnsi="宋体" w:eastAsia="仿宋_GB2312"/>
                <w:sz w:val="24"/>
                <w:szCs w:val="44"/>
              </w:rPr>
            </w:pPr>
            <w:r>
              <w:rPr>
                <w:rFonts w:hint="eastAsia" w:ascii="仿宋_GB2312" w:hAnsi="宋体" w:eastAsia="仿宋_GB2312"/>
                <w:sz w:val="24"/>
              </w:rPr>
              <w:t>芜湖新兴65MW煤气发电项目</w:t>
            </w:r>
            <w:r>
              <w:rPr>
                <w:rFonts w:hint="eastAsia" w:ascii="仿宋_GB2312" w:hAnsi="宋体" w:eastAsia="仿宋_GB2312"/>
                <w:sz w:val="24"/>
                <w:lang w:eastAsia="zh-CN"/>
              </w:rPr>
              <w:t>过江通廊洪评</w:t>
            </w:r>
            <w:r>
              <w:rPr>
                <w:rFonts w:hint="eastAsia" w:ascii="仿宋_GB2312" w:hAnsi="宋体" w:eastAsia="仿宋_GB2312"/>
                <w:sz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工程地点</w:t>
            </w:r>
          </w:p>
        </w:tc>
        <w:tc>
          <w:tcPr>
            <w:tcW w:w="6672" w:type="dxa"/>
            <w:vAlign w:val="center"/>
          </w:tcPr>
          <w:p>
            <w:pPr>
              <w:rPr>
                <w:rFonts w:ascii="仿宋_GB2312" w:hAnsi="宋体" w:eastAsia="仿宋_GB2312"/>
                <w:sz w:val="24"/>
              </w:rPr>
            </w:pPr>
            <w:r>
              <w:rPr>
                <w:rFonts w:hint="eastAsia" w:ascii="仿宋_GB2312" w:hAnsi="宋体" w:eastAsia="仿宋_GB2312"/>
                <w:sz w:val="24"/>
              </w:rPr>
              <w:t>芜湖市三山区小江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工程规模</w:t>
            </w:r>
          </w:p>
        </w:tc>
        <w:tc>
          <w:tcPr>
            <w:tcW w:w="6672" w:type="dxa"/>
            <w:vAlign w:val="center"/>
          </w:tcPr>
          <w:p>
            <w:pPr>
              <w:spacing w:line="360" w:lineRule="auto"/>
              <w:ind w:right="-514" w:rightChars="-245"/>
              <w:rPr>
                <w:rFonts w:ascii="仿宋_GB2312" w:hAnsi="宋体" w:eastAsia="仿宋_GB2312"/>
                <w:sz w:val="24"/>
              </w:rPr>
            </w:pPr>
            <w:r>
              <w:rPr>
                <w:rFonts w:hint="eastAsia" w:ascii="仿宋_GB2312" w:hAnsi="宋体" w:eastAsia="仿宋_GB2312"/>
                <w:sz w:val="24"/>
                <w:lang w:eastAsia="zh-CN"/>
              </w:rPr>
              <w:t>项目所需的各种能源介质管网，需要在小江上空建设一趟管廊横穿小江，在小江河道内规划建设四个支柱支撑管廊，支柱直径</w:t>
            </w:r>
            <w:r>
              <w:rPr>
                <w:rFonts w:hint="eastAsia" w:ascii="仿宋_GB2312" w:hAnsi="宋体" w:eastAsia="仿宋_GB2312"/>
                <w:sz w:val="24"/>
                <w:lang w:val="en-US" w:eastAsia="zh-CN"/>
              </w:rPr>
              <w:t>1.8m，跨小江管廊长度约为325m。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招标编号</w:t>
            </w:r>
          </w:p>
        </w:tc>
        <w:tc>
          <w:tcPr>
            <w:tcW w:w="6672"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5</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质量要求</w:t>
            </w:r>
          </w:p>
        </w:tc>
        <w:tc>
          <w:tcPr>
            <w:tcW w:w="6672" w:type="dxa"/>
            <w:vAlign w:val="center"/>
          </w:tcPr>
          <w:p>
            <w:pPr>
              <w:rPr>
                <w:rFonts w:ascii="仿宋_GB2312" w:hAnsi="宋体" w:eastAsia="仿宋_GB2312"/>
                <w:sz w:val="24"/>
              </w:rPr>
            </w:pPr>
            <w:r>
              <w:rPr>
                <w:rFonts w:hint="eastAsia" w:ascii="仿宋_GB2312" w:hAnsi="宋体" w:eastAsia="仿宋_GB2312"/>
                <w:sz w:val="24"/>
              </w:rPr>
              <w:t>文本编写规范并通过政府相关部门的认可和批准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6</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招标范围</w:t>
            </w:r>
          </w:p>
        </w:tc>
        <w:tc>
          <w:tcPr>
            <w:tcW w:w="6672" w:type="dxa"/>
            <w:vAlign w:val="center"/>
          </w:tcPr>
          <w:p>
            <w:pPr>
              <w:adjustRightInd w:val="0"/>
              <w:snapToGrid w:val="0"/>
              <w:spacing w:line="360" w:lineRule="auto"/>
              <w:jc w:val="left"/>
              <w:rPr>
                <w:rFonts w:ascii="仿宋_GB2312" w:hAnsi="宋体" w:eastAsia="仿宋_GB2312"/>
                <w:sz w:val="24"/>
              </w:rPr>
            </w:pPr>
            <w:r>
              <w:rPr>
                <w:rFonts w:hint="eastAsia" w:ascii="仿宋_GB2312" w:hAnsi="宋体" w:eastAsia="仿宋_GB2312"/>
                <w:sz w:val="24"/>
              </w:rPr>
              <w:t>（见招标书</w:t>
            </w:r>
            <w:r>
              <w:rPr>
                <w:rFonts w:hint="eastAsia" w:ascii="仿宋_GB2312" w:eastAsia="仿宋_GB2312"/>
                <w:sz w:val="24"/>
              </w:rPr>
              <w:t>，附后）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7</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投标人资格</w:t>
            </w:r>
          </w:p>
        </w:tc>
        <w:tc>
          <w:tcPr>
            <w:tcW w:w="6672" w:type="dxa"/>
            <w:vAlign w:val="center"/>
          </w:tcPr>
          <w:p>
            <w:pPr>
              <w:spacing w:before="240" w:line="360" w:lineRule="auto"/>
              <w:rPr>
                <w:rFonts w:ascii="仿宋_GB2312" w:hAnsi="宋体" w:eastAsia="仿宋_GB2312"/>
                <w:sz w:val="24"/>
              </w:rPr>
            </w:pPr>
            <w:r>
              <w:rPr>
                <w:rFonts w:hint="eastAsia" w:ascii="仿宋_GB2312" w:hAnsi="宋体" w:eastAsia="仿宋_GB2312"/>
                <w:sz w:val="24"/>
              </w:rPr>
              <w:t>报告编制单位的资质、资格需经</w:t>
            </w:r>
            <w:r>
              <w:rPr>
                <w:rFonts w:hint="eastAsia" w:ascii="仿宋_GB2312" w:hAnsi="宋体" w:eastAsia="仿宋_GB2312"/>
                <w:sz w:val="24"/>
                <w:lang w:eastAsia="zh-CN"/>
              </w:rPr>
              <w:t>政府审批</w:t>
            </w:r>
            <w:r>
              <w:rPr>
                <w:rFonts w:hint="eastAsia" w:ascii="仿宋_GB2312" w:hAnsi="宋体" w:eastAsia="仿宋_GB2312"/>
                <w:sz w:val="24"/>
              </w:rPr>
              <w:t>相关部门认可，资质等级不限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8</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投标有效期</w:t>
            </w:r>
          </w:p>
        </w:tc>
        <w:tc>
          <w:tcPr>
            <w:tcW w:w="6672" w:type="dxa"/>
            <w:vAlign w:val="center"/>
          </w:tcPr>
          <w:p>
            <w:pPr>
              <w:ind w:left="153"/>
              <w:rPr>
                <w:rFonts w:ascii="仿宋_GB2312" w:hAnsi="宋体" w:eastAsia="仿宋_GB2312"/>
                <w:sz w:val="24"/>
              </w:rPr>
            </w:pPr>
            <w:r>
              <w:rPr>
                <w:rFonts w:hint="eastAsia" w:ascii="仿宋_GB2312" w:hAnsi="宋体" w:eastAsia="仿宋_GB2312"/>
                <w:sz w:val="24"/>
              </w:rPr>
              <w:t>为</w:t>
            </w:r>
            <w:r>
              <w:rPr>
                <w:rFonts w:hint="eastAsia" w:ascii="仿宋_GB2312" w:hAnsi="宋体" w:eastAsia="仿宋_GB2312"/>
                <w:sz w:val="24"/>
                <w:u w:val="single"/>
              </w:rPr>
              <w:t>7</w:t>
            </w:r>
            <w:r>
              <w:rPr>
                <w:rFonts w:hint="eastAsia" w:ascii="仿宋_GB2312" w:hAnsi="宋体" w:eastAsia="仿宋_GB2312"/>
                <w:sz w:val="24"/>
              </w:rPr>
              <w:t>日历天（从投标截止日起算）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9</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质疑及答疑</w:t>
            </w:r>
          </w:p>
        </w:tc>
        <w:tc>
          <w:tcPr>
            <w:tcW w:w="6672" w:type="dxa"/>
            <w:vAlign w:val="center"/>
          </w:tcPr>
          <w:p>
            <w:pPr>
              <w:rPr>
                <w:rFonts w:ascii="仿宋_GB2312" w:hAnsi="宋体" w:eastAsia="仿宋_GB2312"/>
                <w:sz w:val="24"/>
              </w:rPr>
            </w:pPr>
            <w:r>
              <w:rPr>
                <w:rFonts w:hint="eastAsia" w:ascii="仿宋_GB2312" w:hAnsi="宋体" w:eastAsia="仿宋_GB2312"/>
                <w:sz w:val="24"/>
              </w:rPr>
              <w:t>递交书面质疑的截止时间：2016年7月1</w:t>
            </w:r>
            <w:r>
              <w:rPr>
                <w:rFonts w:hint="eastAsia" w:ascii="仿宋_GB2312" w:hAnsi="宋体" w:eastAsia="仿宋_GB2312"/>
                <w:sz w:val="24"/>
                <w:lang w:val="en-US" w:eastAsia="zh-CN"/>
              </w:rPr>
              <w:t>4</w:t>
            </w:r>
            <w:r>
              <w:rPr>
                <w:rFonts w:hint="eastAsia" w:ascii="仿宋_GB2312" w:hAnsi="宋体"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10</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投标文件组成及数量</w:t>
            </w:r>
          </w:p>
        </w:tc>
        <w:tc>
          <w:tcPr>
            <w:tcW w:w="6672" w:type="dxa"/>
            <w:vAlign w:val="center"/>
          </w:tcPr>
          <w:p>
            <w:pPr>
              <w:pStyle w:val="22"/>
            </w:pPr>
            <w:r>
              <w:rPr>
                <w:rFonts w:hint="eastAsia"/>
              </w:rPr>
              <w:t xml:space="preserve">商务文件2份；  </w:t>
            </w:r>
          </w:p>
          <w:p>
            <w:pPr>
              <w:pStyle w:val="22"/>
            </w:pPr>
            <w:r>
              <w:rPr>
                <w:rFonts w:hint="eastAsia"/>
              </w:rPr>
              <w:t>技术文件2份；</w:t>
            </w:r>
          </w:p>
          <w:p>
            <w:pPr>
              <w:pStyle w:val="22"/>
            </w:pPr>
            <w:r>
              <w:rPr>
                <w:rFonts w:hint="eastAsia"/>
              </w:rPr>
              <w:t>报价清单2份。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11</w:t>
            </w:r>
          </w:p>
        </w:tc>
        <w:tc>
          <w:tcPr>
            <w:tcW w:w="1668" w:type="dxa"/>
            <w:vAlign w:val="center"/>
          </w:tcPr>
          <w:p>
            <w:pPr>
              <w:rPr>
                <w:rFonts w:ascii="仿宋_GB2312" w:hAnsi="宋体" w:eastAsia="仿宋_GB2312"/>
                <w:sz w:val="24"/>
              </w:rPr>
            </w:pPr>
            <w:r>
              <w:rPr>
                <w:rFonts w:hint="eastAsia" w:ascii="仿宋_GB2312" w:hAnsi="宋体" w:eastAsia="仿宋_GB2312"/>
                <w:sz w:val="24"/>
              </w:rPr>
              <w:t>投标截止时间</w:t>
            </w:r>
          </w:p>
        </w:tc>
        <w:tc>
          <w:tcPr>
            <w:tcW w:w="6672" w:type="dxa"/>
            <w:vAlign w:val="center"/>
          </w:tcPr>
          <w:p>
            <w:pPr>
              <w:rPr>
                <w:rFonts w:ascii="仿宋_GB2312" w:hAnsi="宋体" w:eastAsia="仿宋_GB2312"/>
                <w:sz w:val="24"/>
              </w:rPr>
            </w:pPr>
            <w:r>
              <w:rPr>
                <w:rFonts w:hint="eastAsia" w:ascii="仿宋_GB2312" w:hAnsi="宋体" w:eastAsia="仿宋_GB2312"/>
                <w:sz w:val="24"/>
              </w:rPr>
              <w:t>递交投标文件时间：2016年7月1</w:t>
            </w:r>
            <w:r>
              <w:rPr>
                <w:rFonts w:hint="eastAsia" w:ascii="仿宋_GB2312" w:hAnsi="宋体" w:eastAsia="仿宋_GB2312"/>
                <w:sz w:val="24"/>
                <w:lang w:val="en-US" w:eastAsia="zh-CN"/>
              </w:rPr>
              <w:t>4</w:t>
            </w:r>
            <w:r>
              <w:rPr>
                <w:rFonts w:hint="eastAsia" w:ascii="仿宋_GB2312" w:hAnsi="宋体" w:eastAsia="仿宋_GB2312"/>
                <w:sz w:val="24"/>
              </w:rPr>
              <w:t>日9:00时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rFonts w:ascii="仿宋_GB2312" w:hAnsi="宋体" w:eastAsia="仿宋_GB2312"/>
                <w:sz w:val="24"/>
              </w:rPr>
            </w:pPr>
            <w:r>
              <w:rPr>
                <w:rFonts w:hint="eastAsia" w:ascii="仿宋_GB2312" w:hAnsi="宋体" w:eastAsia="仿宋_GB2312"/>
                <w:sz w:val="24"/>
              </w:rPr>
              <w:t>12</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开标会</w:t>
            </w:r>
          </w:p>
        </w:tc>
        <w:tc>
          <w:tcPr>
            <w:tcW w:w="6672" w:type="dxa"/>
            <w:vAlign w:val="center"/>
          </w:tcPr>
          <w:p>
            <w:r>
              <w:rPr>
                <w:rFonts w:hint="eastAsia" w:ascii="仿宋_GB2312" w:hAnsi="宋体" w:eastAsia="仿宋_GB2312"/>
                <w:sz w:val="24"/>
              </w:rPr>
              <w:t>开标会时间：2016年7月1</w:t>
            </w:r>
            <w:r>
              <w:rPr>
                <w:rFonts w:hint="eastAsia" w:ascii="仿宋_GB2312" w:hAnsi="宋体" w:eastAsia="仿宋_GB2312"/>
                <w:sz w:val="24"/>
                <w:lang w:val="en-US" w:eastAsia="zh-CN"/>
              </w:rPr>
              <w:t>5</w:t>
            </w:r>
            <w:r>
              <w:rPr>
                <w:rFonts w:hint="eastAsia" w:ascii="仿宋_GB2312" w:hAnsi="宋体" w:eastAsia="仿宋_GB2312"/>
                <w:sz w:val="24"/>
              </w:rPr>
              <w:t>日9:00时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rFonts w:ascii="仿宋_GB2312" w:hAnsi="宋体" w:eastAsia="仿宋_GB2312"/>
                <w:sz w:val="24"/>
              </w:rPr>
            </w:pPr>
            <w:r>
              <w:rPr>
                <w:rFonts w:hint="eastAsia" w:ascii="仿宋_GB2312" w:hAnsi="宋体" w:eastAsia="仿宋_GB2312"/>
                <w:sz w:val="24"/>
              </w:rPr>
              <w:t>13</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投标地点</w:t>
            </w:r>
          </w:p>
        </w:tc>
        <w:tc>
          <w:tcPr>
            <w:tcW w:w="6672" w:type="dxa"/>
            <w:vAlign w:val="center"/>
          </w:tcPr>
          <w:p>
            <w:pPr>
              <w:rPr>
                <w:rFonts w:ascii="仿宋_GB2312" w:hAnsi="宋体" w:eastAsia="仿宋_GB2312"/>
                <w:sz w:val="24"/>
              </w:rPr>
            </w:pPr>
            <w:r>
              <w:rPr>
                <w:rFonts w:hint="eastAsia" w:ascii="仿宋_GB2312" w:hAnsi="宋体" w:eastAsia="仿宋_GB2312"/>
                <w:sz w:val="24"/>
              </w:rPr>
              <w:t>芜湖新兴铸管有限责任公司</w:t>
            </w:r>
            <w:r>
              <w:rPr>
                <w:rFonts w:hint="eastAsia"/>
                <w:color w:val="000000"/>
                <w:sz w:val="24"/>
                <w:szCs w:val="24"/>
              </w:rPr>
              <w:t>主楼5</w:t>
            </w:r>
            <w:r>
              <w:rPr>
                <w:rFonts w:hint="eastAsia"/>
                <w:color w:val="000000"/>
                <w:sz w:val="24"/>
                <w:szCs w:val="24"/>
                <w:lang w:val="en-US" w:eastAsia="zh-CN"/>
              </w:rPr>
              <w:t>24</w:t>
            </w:r>
            <w:r>
              <w:rPr>
                <w:rFonts w:hint="eastAsia"/>
                <w:color w:val="00000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14</w:t>
            </w:r>
          </w:p>
        </w:tc>
        <w:tc>
          <w:tcPr>
            <w:tcW w:w="1668" w:type="dxa"/>
            <w:vAlign w:val="center"/>
          </w:tcPr>
          <w:p>
            <w:pPr>
              <w:ind w:left="153"/>
              <w:jc w:val="center"/>
              <w:rPr>
                <w:rFonts w:ascii="仿宋_GB2312" w:hAnsi="宋体" w:eastAsia="仿宋_GB2312"/>
                <w:sz w:val="24"/>
              </w:rPr>
            </w:pPr>
            <w:r>
              <w:rPr>
                <w:rFonts w:hint="eastAsia" w:ascii="仿宋_GB2312" w:hAnsi="宋体" w:eastAsia="仿宋_GB2312"/>
                <w:sz w:val="24"/>
              </w:rPr>
              <w:t>投标办法</w:t>
            </w:r>
          </w:p>
        </w:tc>
        <w:tc>
          <w:tcPr>
            <w:tcW w:w="6672" w:type="dxa"/>
            <w:vAlign w:val="center"/>
          </w:tcPr>
          <w:p>
            <w:pPr>
              <w:rPr>
                <w:rFonts w:ascii="仿宋_GB2312" w:hAnsi="宋体" w:eastAsia="仿宋_GB2312"/>
                <w:sz w:val="24"/>
              </w:rPr>
            </w:pPr>
            <w:r>
              <w:rPr>
                <w:rFonts w:hint="eastAsia" w:ascii="仿宋_GB2312" w:hAnsi="宋体" w:eastAsia="仿宋_GB2312"/>
                <w:sz w:val="24"/>
              </w:rPr>
              <w:t>公开投标</w:t>
            </w:r>
          </w:p>
        </w:tc>
      </w:tr>
    </w:tbl>
    <w:p/>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投 标 人 须 知</w:t>
      </w:r>
      <w:bookmarkStart w:id="4" w:name="_Toc48458833"/>
      <w:bookmarkStart w:id="5" w:name="_Toc47852423"/>
      <w:bookmarkStart w:id="6" w:name="_Toc135305428"/>
    </w:p>
    <w:p>
      <w:pPr>
        <w:jc w:val="center"/>
        <w:rPr>
          <w:rFonts w:ascii="黑体" w:hAnsi="Arial" w:eastAsia="黑体"/>
          <w:b/>
          <w:bCs/>
          <w:sz w:val="32"/>
          <w:szCs w:val="32"/>
        </w:rPr>
      </w:pPr>
      <w:r>
        <w:rPr>
          <w:rFonts w:hint="eastAsia" w:ascii="黑体" w:hAnsi="宋体" w:eastAsia="黑体"/>
          <w:sz w:val="32"/>
          <w:szCs w:val="32"/>
        </w:rPr>
        <w:t>一、总   则</w:t>
      </w:r>
      <w:bookmarkEnd w:id="4"/>
      <w:bookmarkEnd w:id="5"/>
      <w:bookmarkEnd w:id="6"/>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1. 工程概况</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工程概况及合同名称见投标须知前附表。</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2. 资金来源</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招标人的工程建设资金</w:t>
      </w:r>
      <w:r>
        <w:rPr>
          <w:rFonts w:hint="eastAsia" w:ascii="仿宋_GB2312" w:hAnsi="Times New Roman" w:eastAsia="仿宋_GB2312"/>
          <w:sz w:val="24"/>
          <w:szCs w:val="24"/>
        </w:rPr>
        <w:t>自筹</w:t>
      </w:r>
      <w:r>
        <w:rPr>
          <w:rFonts w:ascii="仿宋_GB2312" w:hAnsi="Times New Roman" w:eastAsia="仿宋_GB2312"/>
          <w:sz w:val="24"/>
          <w:szCs w:val="24"/>
        </w:rPr>
        <w:t>，并按合同规定支付。</w:t>
      </w:r>
    </w:p>
    <w:p>
      <w:pPr>
        <w:pStyle w:val="24"/>
        <w:snapToGrid w:val="0"/>
        <w:spacing w:line="480" w:lineRule="exact"/>
        <w:rPr>
          <w:rFonts w:ascii="仿宋_GB2312" w:hAnsi="Times New Roman" w:eastAsia="仿宋_GB2312"/>
          <w:sz w:val="24"/>
          <w:szCs w:val="24"/>
        </w:rPr>
      </w:pPr>
      <w:r>
        <w:rPr>
          <w:rFonts w:hint="eastAsia" w:ascii="仿宋_GB2312" w:hAnsi="Times New Roman" w:eastAsia="仿宋_GB2312"/>
          <w:sz w:val="24"/>
          <w:szCs w:val="24"/>
        </w:rPr>
        <w:t xml:space="preserve">3. </w:t>
      </w:r>
      <w:r>
        <w:rPr>
          <w:rFonts w:ascii="仿宋_GB2312" w:hAnsi="Times New Roman" w:eastAsia="仿宋_GB2312"/>
          <w:sz w:val="24"/>
          <w:szCs w:val="24"/>
        </w:rPr>
        <w:t>资质与合格条件要求</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3.1为保证履行本工程的合同，投标人应满足前附表第</w:t>
      </w:r>
      <w:r>
        <w:rPr>
          <w:rFonts w:hint="eastAsia" w:ascii="仿宋_GB2312" w:hAnsi="Times New Roman" w:eastAsia="仿宋_GB2312"/>
          <w:sz w:val="24"/>
          <w:szCs w:val="24"/>
        </w:rPr>
        <w:t>7</w:t>
      </w:r>
      <w:r>
        <w:rPr>
          <w:rFonts w:ascii="仿宋_GB2312" w:hAnsi="Times New Roman" w:eastAsia="仿宋_GB2312"/>
          <w:sz w:val="24"/>
          <w:szCs w:val="24"/>
        </w:rPr>
        <w:t>项所要求的资质等级。</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投标人应提供符合招标文件要求的资格文件，证明其具备规定的合格性，以及有能力和充分的条件来有效地履行合同(投标人必须如实反映实际情况，对所报投标资料的真实性负责)。为此，所提交的投标文件中应包括下列资料：</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有关确立投标人法律地位的原始文件的副本，包括工商营业执照、工程</w:t>
      </w:r>
      <w:r>
        <w:rPr>
          <w:rFonts w:hint="eastAsia" w:ascii="仿宋_GB2312" w:hAnsi="Times New Roman" w:eastAsia="仿宋_GB2312"/>
          <w:sz w:val="24"/>
          <w:szCs w:val="24"/>
        </w:rPr>
        <w:t>咨询</w:t>
      </w:r>
      <w:r>
        <w:rPr>
          <w:rFonts w:ascii="仿宋_GB2312" w:hAnsi="Times New Roman" w:eastAsia="仿宋_GB2312"/>
          <w:sz w:val="24"/>
          <w:szCs w:val="24"/>
        </w:rPr>
        <w:t>证书及其他相关资质证等；</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4. 投标费用</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投标人参加投标、编制投标文件与递交投标文件、开标所涉及的一切费用自理。</w:t>
      </w:r>
      <w:bookmarkStart w:id="7" w:name="_Toc135305429"/>
      <w:bookmarkStart w:id="8" w:name="_Toc47852424"/>
      <w:bookmarkStart w:id="9" w:name="_Toc48458834"/>
    </w:p>
    <w:p>
      <w:pPr>
        <w:pStyle w:val="24"/>
        <w:snapToGrid w:val="0"/>
        <w:spacing w:line="480" w:lineRule="exact"/>
        <w:jc w:val="center"/>
        <w:rPr>
          <w:rFonts w:ascii="黑体" w:hAnsi="Times New Roman" w:eastAsia="黑体"/>
          <w:sz w:val="32"/>
          <w:szCs w:val="32"/>
        </w:rPr>
      </w:pPr>
      <w:r>
        <w:rPr>
          <w:rFonts w:hint="eastAsia" w:ascii="黑体" w:hAnsi="宋体" w:eastAsia="黑体"/>
          <w:sz w:val="32"/>
          <w:szCs w:val="32"/>
        </w:rPr>
        <w:t>二、招标文件</w:t>
      </w:r>
      <w:bookmarkEnd w:id="7"/>
      <w:bookmarkEnd w:id="8"/>
      <w:bookmarkEnd w:id="9"/>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1.招标文件的组成</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1.1本招标文件包括投标人须知、投标报价要求、投标书、评标办法、技术文件。</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1.2投标人应认真审阅招标文件中所有的投标须知、规定格式、招标文件内容要求。如果投标人的投标文件不能符合招标文件的要求，责任由投标人负责。实质上不响应招标文件的要求的投标文件将被拒绝。</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2.招标文件的解释</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投标人在接到招标文件后，若有问题需澄清，应在</w:t>
      </w:r>
      <w:r>
        <w:rPr>
          <w:rFonts w:hint="eastAsia" w:ascii="仿宋_GB2312" w:hAnsi="宋体" w:eastAsia="仿宋_GB2312"/>
          <w:sz w:val="24"/>
        </w:rPr>
        <w:t>上表11项</w:t>
      </w:r>
      <w:r>
        <w:rPr>
          <w:rFonts w:ascii="仿宋_GB2312" w:hAnsi="Times New Roman" w:eastAsia="仿宋_GB2312"/>
          <w:sz w:val="24"/>
          <w:szCs w:val="24"/>
        </w:rPr>
        <w:t>之前以书面形式(包括书面文字、传真、电报等,下同)告知招标人，招标人将以书面形式予以解答，答复将送给所有获得同一招标文件的投标人。</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3.招标文件的修改</w:t>
      </w:r>
    </w:p>
    <w:p>
      <w:pPr>
        <w:pStyle w:val="24"/>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3.1在投标日期截止前，招标人可能会以补充通知的方式修改招标文件。</w:t>
      </w:r>
    </w:p>
    <w:p>
      <w:pPr>
        <w:pStyle w:val="24"/>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3.2补充通知将以书面形式或传真发给所有获得同一招标文件的投标人，补充通知作为招标文件的组成部分，对投标人起约束作用。补充通知将于投标截止日期前送达投标人，传真成功视为送达成功。</w:t>
      </w:r>
      <w:bookmarkStart w:id="10" w:name="_Toc48458835"/>
      <w:bookmarkStart w:id="11" w:name="_Toc47852425"/>
      <w:bookmarkStart w:id="12" w:name="_Toc135305430"/>
    </w:p>
    <w:p>
      <w:pPr>
        <w:pStyle w:val="24"/>
        <w:snapToGrid w:val="0"/>
        <w:spacing w:line="480" w:lineRule="exact"/>
        <w:jc w:val="center"/>
      </w:pPr>
      <w:r>
        <w:rPr>
          <w:rFonts w:hint="eastAsia" w:ascii="黑体" w:eastAsia="黑体"/>
          <w:bCs/>
          <w:sz w:val="32"/>
          <w:szCs w:val="32"/>
        </w:rPr>
        <w:t>三、投标报价说明</w:t>
      </w:r>
      <w:bookmarkEnd w:id="10"/>
      <w:bookmarkEnd w:id="11"/>
      <w:bookmarkEnd w:id="12"/>
    </w:p>
    <w:p>
      <w:pPr>
        <w:pStyle w:val="24"/>
        <w:snapToGrid w:val="0"/>
        <w:spacing w:line="480" w:lineRule="exact"/>
        <w:ind w:firstLine="600" w:firstLineChars="250"/>
        <w:rPr>
          <w:rFonts w:ascii="仿宋_GB2312" w:eastAsia="仿宋_GB2312"/>
          <w:sz w:val="24"/>
          <w:szCs w:val="24"/>
        </w:rPr>
      </w:pPr>
      <w:r>
        <w:rPr>
          <w:rFonts w:hint="eastAsia" w:ascii="仿宋_GB2312" w:hAnsi="宋体" w:eastAsia="仿宋_GB2312"/>
          <w:sz w:val="24"/>
        </w:rPr>
        <w:t>本次招标采用工程总承包（包括文本编制、会务组织、专家咨询等各项费用，并拿到政府相关部门的批文）。</w:t>
      </w:r>
      <w:r>
        <w:rPr>
          <w:rFonts w:hint="eastAsia" w:ascii="仿宋_GB2312" w:eastAsia="仿宋_GB2312"/>
          <w:sz w:val="24"/>
          <w:szCs w:val="24"/>
        </w:rPr>
        <w:t>投标文件报价中的单价和总价全部采用人民币表示。</w:t>
      </w:r>
      <w:bookmarkStart w:id="13" w:name="_Toc47852426"/>
      <w:bookmarkStart w:id="14" w:name="_Toc135305431"/>
      <w:bookmarkStart w:id="15" w:name="_Toc48458836"/>
    </w:p>
    <w:p>
      <w:pPr>
        <w:pStyle w:val="24"/>
        <w:snapToGrid w:val="0"/>
        <w:spacing w:line="480" w:lineRule="exact"/>
        <w:jc w:val="center"/>
        <w:rPr>
          <w:rFonts w:ascii="黑体" w:hAnsi="Times New Roman" w:eastAsia="黑体"/>
          <w:sz w:val="32"/>
          <w:szCs w:val="32"/>
        </w:rPr>
      </w:pPr>
      <w:r>
        <w:rPr>
          <w:rFonts w:hint="eastAsia" w:ascii="黑体" w:eastAsia="黑体"/>
          <w:bCs/>
          <w:sz w:val="32"/>
          <w:szCs w:val="32"/>
        </w:rPr>
        <w:t xml:space="preserve">  四、投标文件的编制</w:t>
      </w:r>
      <w:bookmarkEnd w:id="13"/>
      <w:bookmarkEnd w:id="14"/>
      <w:bookmarkEnd w:id="15"/>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1.投标文件的语言</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投标文件、投标人与招标人之间与投标有关的来往通知、函件、资料和文件均使用中文。</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2.投标文件的组成</w:t>
      </w:r>
    </w:p>
    <w:p>
      <w:pPr>
        <w:pStyle w:val="24"/>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2.1投标人的投标文件应包括下列内容：</w:t>
      </w:r>
    </w:p>
    <w:p>
      <w:pPr>
        <w:pStyle w:val="24"/>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投标书</w:t>
      </w:r>
    </w:p>
    <w:p>
      <w:pPr>
        <w:pStyle w:val="24"/>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法定代表人资格证明书或授权委托书</w:t>
      </w:r>
    </w:p>
    <w:p>
      <w:pPr>
        <w:pStyle w:val="24"/>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投标商务文件</w:t>
      </w:r>
    </w:p>
    <w:p>
      <w:pPr>
        <w:pStyle w:val="24"/>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投标技术文件</w:t>
      </w:r>
    </w:p>
    <w:p>
      <w:pPr>
        <w:pStyle w:val="24"/>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投标报价、分项明细表等</w:t>
      </w:r>
    </w:p>
    <w:p>
      <w:pPr>
        <w:pStyle w:val="24"/>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投标文件规定提交的其他资料</w:t>
      </w:r>
    </w:p>
    <w:p>
      <w:pPr>
        <w:pStyle w:val="24"/>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投标人应提供的其他资料</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3.投标有效期</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3.1投标有效期为前附表第</w:t>
      </w:r>
      <w:r>
        <w:rPr>
          <w:rFonts w:hint="eastAsia" w:ascii="仿宋_GB2312" w:hAnsi="Times New Roman" w:eastAsia="仿宋_GB2312"/>
          <w:sz w:val="24"/>
          <w:szCs w:val="24"/>
        </w:rPr>
        <w:t>10</w:t>
      </w:r>
      <w:r>
        <w:rPr>
          <w:rFonts w:ascii="仿宋_GB2312" w:hAnsi="Times New Roman" w:eastAsia="仿宋_GB2312"/>
          <w:sz w:val="24"/>
          <w:szCs w:val="24"/>
        </w:rPr>
        <w:t>项所列的日历日。</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3.2在原定投标有效期满之前，如果出现特殊情况需要延期，报有关部门批准后，招标人将以书面形式通知所有获得同一招标文件的投标人，投标人应以书面形式给予答复。</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4.问题答疑</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4.1对投标人提出的问题，招标人将整理成书面材料，以传真的形式答复所有投标人。</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4.2招标人向投标人提供的招标文件和所附资料及提出问题的书面答复，是招标人现有的能使投标人可利用的资料。投标人据此做出的理解、推论及结论，招标人概不负责。</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5.投标文件的份数和签署</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5.1投标人应编制投标文件“正本”一份和按前附表第</w:t>
      </w:r>
      <w:r>
        <w:rPr>
          <w:rFonts w:hint="eastAsia" w:ascii="仿宋_GB2312" w:hAnsi="Times New Roman" w:eastAsia="仿宋_GB2312"/>
          <w:sz w:val="24"/>
          <w:szCs w:val="24"/>
        </w:rPr>
        <w:t>10</w:t>
      </w:r>
      <w:r>
        <w:rPr>
          <w:rFonts w:ascii="仿宋_GB2312" w:hAnsi="Times New Roman" w:eastAsia="仿宋_GB2312"/>
          <w:sz w:val="24"/>
          <w:szCs w:val="24"/>
        </w:rPr>
        <w:t>项要求份数的“副本”，并标明“投标文件正本”和“投标文件副本”。如正本和副本有不一致之处，以正本为准。</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5.2投标文件正本与副本必须打印清晰，按页码顺序装订成册。投标文件应以投标人的法定代表人签署或经合法授权的委托代理人签字；投标书必须加盖投标人的印章。</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5.3投标文件的包封形式为：文件按技术卷和商务卷分别密封。</w:t>
      </w:r>
    </w:p>
    <w:p>
      <w:pPr>
        <w:pStyle w:val="24"/>
        <w:snapToGrid w:val="0"/>
        <w:spacing w:line="480" w:lineRule="exact"/>
        <w:ind w:firstLine="600" w:firstLineChars="250"/>
        <w:rPr>
          <w:rFonts w:ascii="仿宋_GB2312" w:eastAsia="仿宋_GB2312"/>
          <w:sz w:val="24"/>
          <w:szCs w:val="24"/>
        </w:rPr>
      </w:pPr>
      <w:r>
        <w:rPr>
          <w:rFonts w:hint="eastAsia" w:ascii="仿宋_GB2312" w:eastAsia="仿宋_GB2312"/>
          <w:sz w:val="24"/>
          <w:szCs w:val="24"/>
        </w:rPr>
        <w:t>5.4全套投标文件应无涂改和行间插字，如必须修改，修改处应由法定代表人(或委托代理人)签字。</w:t>
      </w:r>
      <w:bookmarkStart w:id="16" w:name="_Toc48458837"/>
      <w:bookmarkStart w:id="17" w:name="_Toc135305432"/>
      <w:bookmarkStart w:id="18" w:name="_Toc47852427"/>
    </w:p>
    <w:p>
      <w:pPr>
        <w:pStyle w:val="24"/>
        <w:snapToGrid w:val="0"/>
        <w:spacing w:line="480" w:lineRule="exact"/>
        <w:jc w:val="center"/>
        <w:rPr>
          <w:rFonts w:ascii="黑体" w:hAnsi="Times New Roman" w:eastAsia="黑体"/>
          <w:sz w:val="32"/>
          <w:szCs w:val="32"/>
        </w:rPr>
      </w:pPr>
      <w:r>
        <w:rPr>
          <w:rFonts w:hint="eastAsia" w:ascii="黑体" w:eastAsia="黑体"/>
          <w:bCs/>
          <w:sz w:val="32"/>
          <w:szCs w:val="32"/>
        </w:rPr>
        <w:t>五、投标文件的递交</w:t>
      </w:r>
      <w:bookmarkEnd w:id="16"/>
      <w:bookmarkEnd w:id="17"/>
      <w:bookmarkEnd w:id="18"/>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1.投标文件的密封与标志</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1.1投标人应将投标文件的正本和副本密封包封。</w:t>
      </w:r>
    </w:p>
    <w:p>
      <w:pPr>
        <w:spacing w:line="480" w:lineRule="exact"/>
        <w:ind w:firstLine="540" w:firstLineChars="225"/>
        <w:rPr>
          <w:rFonts w:ascii="仿宋_GB2312" w:eastAsia="仿宋_GB2312"/>
          <w:sz w:val="24"/>
        </w:rPr>
      </w:pPr>
      <w:r>
        <w:rPr>
          <w:rFonts w:hint="eastAsia" w:ascii="仿宋_GB2312" w:eastAsia="仿宋_GB2312"/>
          <w:sz w:val="24"/>
        </w:rPr>
        <w:t>1.2包封上应写明招标人名称和地址、工程名称、招标编号、并注明开标时间以前不得开封。并应写明投标人的名称与地址、邮政编码。</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1.3投标文件递交至前附表第</w:t>
      </w:r>
      <w:r>
        <w:rPr>
          <w:rFonts w:hint="eastAsia" w:ascii="仿宋_GB2312" w:hAnsi="Times New Roman" w:eastAsia="仿宋_GB2312"/>
          <w:sz w:val="24"/>
          <w:szCs w:val="24"/>
        </w:rPr>
        <w:t>13</w:t>
      </w:r>
      <w:r>
        <w:rPr>
          <w:rFonts w:ascii="仿宋_GB2312" w:hAnsi="Times New Roman" w:eastAsia="仿宋_GB2312"/>
          <w:sz w:val="24"/>
          <w:szCs w:val="24"/>
        </w:rPr>
        <w:t>项所述的单位和地址。</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2.投标截止期</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2.1投标文件应按前附表第</w:t>
      </w:r>
      <w:r>
        <w:rPr>
          <w:rFonts w:hint="eastAsia" w:ascii="仿宋_GB2312" w:hAnsi="Times New Roman" w:eastAsia="仿宋_GB2312"/>
          <w:sz w:val="24"/>
          <w:szCs w:val="24"/>
        </w:rPr>
        <w:t>11</w:t>
      </w:r>
      <w:r>
        <w:rPr>
          <w:rFonts w:ascii="仿宋_GB2312" w:hAnsi="Times New Roman" w:eastAsia="仿宋_GB2312"/>
          <w:sz w:val="24"/>
          <w:szCs w:val="24"/>
        </w:rPr>
        <w:t>项规定的日期和时间之前由专人送达招标人。</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2.2如发生特殊情况，需延长投标截止时间，招标人将以补充通知的方式，通知所有取得同一招标文件的投标人。在上述情况下，招标人与投标人在投标截止期前的全部权力、责任和义务，将适用于延长后新的投标截止时间。</w:t>
      </w:r>
    </w:p>
    <w:p>
      <w:pPr>
        <w:spacing w:line="480" w:lineRule="exact"/>
        <w:rPr>
          <w:rFonts w:ascii="仿宋_GB2312" w:eastAsia="仿宋_GB2312"/>
          <w:sz w:val="24"/>
        </w:rPr>
      </w:pPr>
      <w:r>
        <w:rPr>
          <w:rFonts w:hint="eastAsia" w:ascii="仿宋_GB2312" w:eastAsia="仿宋_GB2312"/>
          <w:sz w:val="24"/>
        </w:rPr>
        <w:t>3．投标文件的修改与撤回</w:t>
      </w:r>
    </w:p>
    <w:p>
      <w:pPr>
        <w:spacing w:line="480" w:lineRule="exact"/>
        <w:rPr>
          <w:rFonts w:ascii="仿宋_GB2312" w:eastAsia="仿宋_GB2312"/>
          <w:sz w:val="24"/>
        </w:rPr>
      </w:pPr>
      <w:r>
        <w:rPr>
          <w:rFonts w:hint="eastAsia" w:ascii="仿宋_GB2312" w:eastAsia="仿宋_GB2312"/>
          <w:sz w:val="24"/>
        </w:rPr>
        <w:t>3</w:t>
      </w:r>
      <w:r>
        <w:rPr>
          <w:rFonts w:ascii="仿宋_GB2312" w:eastAsia="仿宋_GB2312"/>
          <w:sz w:val="24"/>
        </w:rPr>
        <w:t>.1</w:t>
      </w:r>
      <w:r>
        <w:rPr>
          <w:rFonts w:hint="eastAsia" w:ascii="仿宋_GB2312" w:eastAsia="仿宋_GB2312"/>
          <w:sz w:val="24"/>
        </w:rPr>
        <w:t>投标人可以在递交投标文件以后</w:t>
      </w:r>
      <w:r>
        <w:rPr>
          <w:rFonts w:ascii="仿宋_GB2312" w:eastAsia="仿宋_GB2312"/>
          <w:sz w:val="24"/>
        </w:rPr>
        <w:t>,</w:t>
      </w:r>
      <w:r>
        <w:rPr>
          <w:rFonts w:hint="eastAsia" w:ascii="仿宋_GB2312" w:eastAsia="仿宋_GB2312"/>
          <w:sz w:val="24"/>
        </w:rPr>
        <w:t>在规定的投标截止时间之前</w:t>
      </w:r>
      <w:r>
        <w:rPr>
          <w:rFonts w:ascii="仿宋_GB2312" w:eastAsia="仿宋_GB2312"/>
          <w:sz w:val="24"/>
        </w:rPr>
        <w:t>,</w:t>
      </w:r>
      <w:r>
        <w:rPr>
          <w:rFonts w:hint="eastAsia" w:ascii="仿宋_GB2312" w:eastAsia="仿宋_GB2312"/>
          <w:sz w:val="24"/>
        </w:rPr>
        <w:t>可以书面形式向招标人递交修改或撤回其投标文件的通知。在投标截止日期以后</w:t>
      </w:r>
      <w:r>
        <w:rPr>
          <w:rFonts w:ascii="仿宋_GB2312" w:eastAsia="仿宋_GB2312"/>
          <w:sz w:val="24"/>
        </w:rPr>
        <w:t>,</w:t>
      </w:r>
      <w:r>
        <w:rPr>
          <w:rFonts w:hint="eastAsia" w:ascii="仿宋_GB2312" w:eastAsia="仿宋_GB2312"/>
          <w:sz w:val="24"/>
        </w:rPr>
        <w:t>不能更改投标文件。</w:t>
      </w:r>
    </w:p>
    <w:p>
      <w:pPr>
        <w:spacing w:line="480" w:lineRule="exact"/>
        <w:ind w:firstLine="435"/>
        <w:rPr>
          <w:rFonts w:ascii="仿宋_GB2312" w:eastAsia="仿宋_GB2312"/>
          <w:sz w:val="24"/>
        </w:rPr>
      </w:pPr>
      <w:r>
        <w:rPr>
          <w:rFonts w:hint="eastAsia" w:ascii="仿宋_GB2312" w:eastAsia="仿宋_GB2312"/>
          <w:sz w:val="24"/>
        </w:rPr>
        <w:t>3.2投标人的修改或撤回通知,应按相关规定编制、密封、标志和递交(在内层包封标明“修改”或“撤回”字样)。</w:t>
      </w:r>
      <w:bookmarkStart w:id="19" w:name="_Toc48458838"/>
      <w:bookmarkStart w:id="20" w:name="_Toc135305433"/>
      <w:bookmarkStart w:id="21" w:name="_Toc47852428"/>
    </w:p>
    <w:p>
      <w:pPr>
        <w:spacing w:line="480" w:lineRule="exact"/>
        <w:jc w:val="center"/>
        <w:rPr>
          <w:rFonts w:ascii="黑体" w:eastAsia="黑体"/>
          <w:sz w:val="32"/>
          <w:szCs w:val="32"/>
        </w:rPr>
      </w:pPr>
      <w:r>
        <w:rPr>
          <w:rFonts w:hint="eastAsia" w:ascii="黑体" w:eastAsia="黑体"/>
          <w:bCs/>
          <w:sz w:val="32"/>
          <w:szCs w:val="32"/>
        </w:rPr>
        <w:t>六、开   标</w:t>
      </w:r>
      <w:bookmarkEnd w:id="19"/>
      <w:bookmarkEnd w:id="20"/>
      <w:bookmarkEnd w:id="21"/>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w:t>
      </w:r>
      <w:r>
        <w:rPr>
          <w:rFonts w:ascii="仿宋_GB2312" w:hAnsi="Times New Roman" w:eastAsia="仿宋_GB2312"/>
          <w:sz w:val="24"/>
          <w:szCs w:val="24"/>
        </w:rPr>
        <w:t>招标人于规定的时间和地点举行开标会议，所有投标人的法定代表人或委托代理人必须出席。</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w:t>
      </w:r>
      <w:r>
        <w:rPr>
          <w:rFonts w:ascii="仿宋_GB2312" w:hAnsi="Times New Roman" w:eastAsia="仿宋_GB2312"/>
          <w:sz w:val="24"/>
          <w:szCs w:val="24"/>
        </w:rPr>
        <w:t>开标会议由招标方组织并主持。对投标文件进行检查并登记，由投标人法人代表或授权代理人签字。</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w:t>
      </w:r>
      <w:r>
        <w:rPr>
          <w:rFonts w:ascii="仿宋_GB2312" w:hAnsi="Times New Roman" w:eastAsia="仿宋_GB2312"/>
          <w:sz w:val="24"/>
          <w:szCs w:val="24"/>
        </w:rPr>
        <w:t>投标人法人代表或授权代理人未参加开标会议的视为自动弃权。投标文件有下列情况之一者，将视为废标；</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3.1投标书无法定代表人(或委托代理人)签字或未加盖单位公章；</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3.2投标文件未经密封和未加盖单位公章；</w:t>
      </w:r>
    </w:p>
    <w:p>
      <w:pPr>
        <w:pStyle w:val="24"/>
        <w:snapToGrid w:val="0"/>
        <w:spacing w:line="480" w:lineRule="exact"/>
        <w:ind w:firstLine="540" w:firstLineChars="225"/>
        <w:rPr>
          <w:rFonts w:ascii="仿宋_GB2312" w:eastAsia="仿宋_GB2312"/>
          <w:sz w:val="24"/>
          <w:szCs w:val="24"/>
        </w:rPr>
      </w:pPr>
      <w:r>
        <w:rPr>
          <w:rFonts w:hint="eastAsia" w:ascii="仿宋_GB2312" w:eastAsia="仿宋_GB2312"/>
          <w:sz w:val="24"/>
          <w:szCs w:val="24"/>
        </w:rPr>
        <w:t>3.3投标文件超过投标截止时间送达。</w:t>
      </w:r>
      <w:bookmarkStart w:id="22" w:name="_Toc135305434"/>
      <w:bookmarkStart w:id="23" w:name="_Toc48458839"/>
      <w:bookmarkStart w:id="24" w:name="_Toc47852429"/>
    </w:p>
    <w:p>
      <w:pPr>
        <w:pStyle w:val="24"/>
        <w:snapToGrid w:val="0"/>
        <w:spacing w:line="480" w:lineRule="exact"/>
        <w:jc w:val="center"/>
        <w:rPr>
          <w:rFonts w:ascii="黑体" w:hAnsi="Times New Roman" w:eastAsia="黑体"/>
          <w:sz w:val="32"/>
          <w:szCs w:val="32"/>
        </w:rPr>
      </w:pPr>
      <w:r>
        <w:rPr>
          <w:rFonts w:hint="eastAsia" w:ascii="黑体" w:eastAsia="黑体"/>
          <w:bCs/>
          <w:sz w:val="32"/>
          <w:szCs w:val="32"/>
        </w:rPr>
        <w:t>七、评   标</w:t>
      </w:r>
      <w:bookmarkEnd w:id="22"/>
      <w:bookmarkEnd w:id="23"/>
      <w:bookmarkEnd w:id="24"/>
    </w:p>
    <w:p>
      <w:pPr>
        <w:spacing w:line="480" w:lineRule="exact"/>
        <w:rPr>
          <w:rFonts w:ascii="仿宋_GB2312" w:eastAsia="仿宋_GB2312"/>
          <w:sz w:val="24"/>
          <w:szCs w:val="24"/>
        </w:rPr>
      </w:pPr>
      <w:r>
        <w:rPr>
          <w:rFonts w:hint="eastAsia" w:ascii="仿宋_GB2312" w:eastAsia="仿宋_GB2312"/>
          <w:sz w:val="24"/>
        </w:rPr>
        <w:t>1</w:t>
      </w:r>
      <w:r>
        <w:rPr>
          <w:rFonts w:hint="eastAsia" w:ascii="仿宋_GB2312" w:eastAsia="仿宋_GB2312"/>
          <w:sz w:val="24"/>
          <w:szCs w:val="24"/>
        </w:rPr>
        <w:t>．评标内容的保密</w:t>
      </w:r>
    </w:p>
    <w:p>
      <w:pPr>
        <w:spacing w:line="480" w:lineRule="exact"/>
        <w:rPr>
          <w:rFonts w:ascii="仿宋_GB2312" w:eastAsia="仿宋_GB2312"/>
          <w:sz w:val="24"/>
          <w:szCs w:val="24"/>
        </w:rPr>
      </w:pPr>
      <w:r>
        <w:rPr>
          <w:rFonts w:hint="eastAsia" w:ascii="仿宋_GB2312" w:eastAsia="仿宋_GB2312"/>
          <w:sz w:val="24"/>
          <w:szCs w:val="24"/>
        </w:rPr>
        <w:t xml:space="preserve"> 1</w:t>
      </w:r>
      <w:r>
        <w:rPr>
          <w:rFonts w:ascii="仿宋_GB2312" w:eastAsia="仿宋_GB2312"/>
          <w:sz w:val="24"/>
          <w:szCs w:val="24"/>
        </w:rPr>
        <w:t>.1</w:t>
      </w:r>
      <w:r>
        <w:rPr>
          <w:rFonts w:hint="eastAsia" w:ascii="仿宋_GB2312" w:eastAsia="仿宋_GB2312"/>
          <w:sz w:val="24"/>
          <w:szCs w:val="24"/>
        </w:rPr>
        <w:t>公开开标后</w:t>
      </w:r>
      <w:r>
        <w:rPr>
          <w:rFonts w:ascii="仿宋_GB2312" w:eastAsia="仿宋_GB2312"/>
          <w:sz w:val="24"/>
          <w:szCs w:val="24"/>
        </w:rPr>
        <w:t>,</w:t>
      </w:r>
      <w:r>
        <w:rPr>
          <w:rFonts w:hint="eastAsia" w:ascii="仿宋_GB2312" w:eastAsia="仿宋_GB2312"/>
          <w:sz w:val="24"/>
          <w:szCs w:val="24"/>
        </w:rPr>
        <w:t>直到宣布授予中标单位合同为止</w:t>
      </w:r>
      <w:r>
        <w:rPr>
          <w:rFonts w:ascii="仿宋_GB2312" w:eastAsia="仿宋_GB2312"/>
          <w:sz w:val="24"/>
          <w:szCs w:val="24"/>
        </w:rPr>
        <w:t>,</w:t>
      </w:r>
      <w:r>
        <w:rPr>
          <w:rFonts w:hint="eastAsia" w:ascii="仿宋_GB2312" w:eastAsia="仿宋_GB2312"/>
          <w:sz w:val="24"/>
          <w:szCs w:val="24"/>
        </w:rPr>
        <w:t>凡属于审查、澄清、评价和比较投标的有关资料</w:t>
      </w:r>
      <w:r>
        <w:rPr>
          <w:rFonts w:ascii="仿宋_GB2312" w:eastAsia="仿宋_GB2312"/>
          <w:sz w:val="24"/>
          <w:szCs w:val="24"/>
        </w:rPr>
        <w:t>,</w:t>
      </w:r>
      <w:r>
        <w:rPr>
          <w:rFonts w:hint="eastAsia" w:ascii="仿宋_GB2312" w:eastAsia="仿宋_GB2312"/>
          <w:sz w:val="24"/>
          <w:szCs w:val="24"/>
        </w:rPr>
        <w:t>和有关授予合同的信息</w:t>
      </w:r>
      <w:r>
        <w:rPr>
          <w:rFonts w:ascii="仿宋_GB2312" w:eastAsia="仿宋_GB2312"/>
          <w:sz w:val="24"/>
          <w:szCs w:val="24"/>
        </w:rPr>
        <w:t>,</w:t>
      </w:r>
      <w:r>
        <w:rPr>
          <w:rFonts w:hint="eastAsia" w:ascii="仿宋_GB2312" w:eastAsia="仿宋_GB2312"/>
          <w:sz w:val="24"/>
          <w:szCs w:val="24"/>
        </w:rPr>
        <w:t>都不应向投标人或与该过程无关的其他人泄露。</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在投标文件的审查、澄清、评价和比较以及授予合同的过程中</w:t>
      </w:r>
      <w:r>
        <w:rPr>
          <w:rFonts w:ascii="仿宋_GB2312" w:eastAsia="仿宋_GB2312"/>
          <w:sz w:val="24"/>
          <w:szCs w:val="24"/>
        </w:rPr>
        <w:t>,</w:t>
      </w:r>
      <w:r>
        <w:rPr>
          <w:rFonts w:hint="eastAsia" w:ascii="仿宋_GB2312" w:eastAsia="仿宋_GB2312"/>
          <w:sz w:val="24"/>
          <w:szCs w:val="24"/>
        </w:rPr>
        <w:t>投标人对招标人和评标机构其他成员施加影响的任何行为</w:t>
      </w:r>
      <w:r>
        <w:rPr>
          <w:rFonts w:ascii="仿宋_GB2312" w:eastAsia="仿宋_GB2312"/>
          <w:sz w:val="24"/>
          <w:szCs w:val="24"/>
        </w:rPr>
        <w:t>,</w:t>
      </w:r>
      <w:r>
        <w:rPr>
          <w:rFonts w:hint="eastAsia" w:ascii="仿宋_GB2312" w:eastAsia="仿宋_GB2312"/>
          <w:sz w:val="24"/>
          <w:szCs w:val="24"/>
        </w:rPr>
        <w:t>都将导致取消投标资格。</w:t>
      </w:r>
    </w:p>
    <w:p>
      <w:pPr>
        <w:spacing w:line="480" w:lineRule="exact"/>
        <w:rPr>
          <w:rFonts w:ascii="仿宋_GB2312" w:eastAsia="仿宋_GB2312"/>
          <w:sz w:val="24"/>
          <w:szCs w:val="24"/>
        </w:rPr>
      </w:pPr>
      <w:r>
        <w:rPr>
          <w:rFonts w:hint="eastAsia" w:ascii="仿宋_GB2312" w:eastAsia="仿宋_GB2312"/>
          <w:sz w:val="24"/>
          <w:szCs w:val="24"/>
        </w:rPr>
        <w:t>2．资格审查</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rPr>
        <w:t>在详细评审前须对投标文件进行资格审查,只有资格审查合格的投标人,其投标文件才能进行评价与比较。</w:t>
      </w:r>
    </w:p>
    <w:p>
      <w:pPr>
        <w:spacing w:line="480" w:lineRule="exact"/>
        <w:rPr>
          <w:rFonts w:ascii="仿宋_GB2312" w:eastAsia="仿宋_GB2312"/>
          <w:sz w:val="24"/>
          <w:szCs w:val="24"/>
        </w:rPr>
      </w:pPr>
      <w:r>
        <w:rPr>
          <w:rFonts w:hint="eastAsia" w:ascii="仿宋_GB2312" w:eastAsia="仿宋_GB2312"/>
          <w:sz w:val="24"/>
          <w:szCs w:val="24"/>
        </w:rPr>
        <w:t>3．投标文件的澄清</w:t>
      </w:r>
    </w:p>
    <w:p>
      <w:pPr>
        <w:spacing w:line="480" w:lineRule="exact"/>
        <w:rPr>
          <w:rFonts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为了有助于投标文件的审查、评价和比较</w:t>
      </w:r>
      <w:r>
        <w:rPr>
          <w:rFonts w:ascii="仿宋_GB2312" w:eastAsia="仿宋_GB2312"/>
          <w:sz w:val="24"/>
          <w:szCs w:val="24"/>
        </w:rPr>
        <w:t>,</w:t>
      </w:r>
      <w:r>
        <w:rPr>
          <w:rFonts w:hint="eastAsia" w:ascii="仿宋_GB2312" w:eastAsia="仿宋_GB2312"/>
          <w:sz w:val="24"/>
          <w:szCs w:val="24"/>
        </w:rPr>
        <w:t>评标机构可以个别要求投标人澄清其投标文件。有关澄清的要求与答复</w:t>
      </w:r>
      <w:r>
        <w:rPr>
          <w:rFonts w:ascii="仿宋_GB2312" w:eastAsia="仿宋_GB2312"/>
          <w:sz w:val="24"/>
          <w:szCs w:val="24"/>
        </w:rPr>
        <w:t>,</w:t>
      </w:r>
      <w:r>
        <w:rPr>
          <w:rFonts w:hint="eastAsia" w:ascii="仿宋_GB2312" w:eastAsia="仿宋_GB2312"/>
          <w:sz w:val="24"/>
          <w:szCs w:val="24"/>
        </w:rPr>
        <w:t>应以书面形式进行，但不允许更改投标的实质性内容。</w:t>
      </w:r>
    </w:p>
    <w:p>
      <w:pPr>
        <w:spacing w:line="480" w:lineRule="exact"/>
        <w:rPr>
          <w:rFonts w:ascii="仿宋_GB2312" w:eastAsia="仿宋_GB2312"/>
          <w:sz w:val="24"/>
          <w:szCs w:val="24"/>
        </w:rPr>
      </w:pPr>
      <w:r>
        <w:rPr>
          <w:rFonts w:hint="eastAsia" w:ascii="仿宋_GB2312" w:eastAsia="仿宋_GB2312"/>
          <w:sz w:val="24"/>
          <w:szCs w:val="24"/>
        </w:rPr>
        <w:t>4．投标文件的符合性鉴定</w:t>
      </w:r>
    </w:p>
    <w:p>
      <w:pPr>
        <w:spacing w:line="480" w:lineRule="exact"/>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4</w:t>
      </w:r>
      <w:r>
        <w:rPr>
          <w:rFonts w:ascii="仿宋_GB2312" w:eastAsia="仿宋_GB2312"/>
          <w:sz w:val="24"/>
          <w:szCs w:val="24"/>
        </w:rPr>
        <w:t>.1</w:t>
      </w:r>
      <w:r>
        <w:rPr>
          <w:rFonts w:hint="eastAsia" w:ascii="仿宋_GB2312" w:eastAsia="仿宋_GB2312"/>
          <w:sz w:val="24"/>
          <w:szCs w:val="24"/>
        </w:rPr>
        <w:t>在详细评标之前</w:t>
      </w:r>
      <w:r>
        <w:rPr>
          <w:rFonts w:ascii="仿宋_GB2312" w:eastAsia="仿宋_GB2312"/>
          <w:sz w:val="24"/>
          <w:szCs w:val="24"/>
        </w:rPr>
        <w:t>,</w:t>
      </w:r>
      <w:r>
        <w:rPr>
          <w:rFonts w:hint="eastAsia" w:ascii="仿宋_GB2312" w:eastAsia="仿宋_GB2312"/>
          <w:sz w:val="24"/>
          <w:szCs w:val="24"/>
        </w:rPr>
        <w:t>评标机构将首先审定每份投标文件是否在实质上响应了招标文件的要求。</w:t>
      </w:r>
    </w:p>
    <w:p>
      <w:pPr>
        <w:spacing w:line="480" w:lineRule="exact"/>
        <w:rPr>
          <w:rFonts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4</w:t>
      </w:r>
      <w:r>
        <w:rPr>
          <w:rFonts w:ascii="仿宋_GB2312" w:eastAsia="仿宋_GB2312"/>
          <w:sz w:val="24"/>
          <w:szCs w:val="24"/>
        </w:rPr>
        <w:t>.2</w:t>
      </w:r>
      <w:r>
        <w:rPr>
          <w:rFonts w:hint="eastAsia" w:ascii="仿宋_GB2312" w:eastAsia="仿宋_GB2312"/>
          <w:sz w:val="24"/>
          <w:szCs w:val="24"/>
        </w:rPr>
        <w:t>就本条款而言</w:t>
      </w:r>
      <w:r>
        <w:rPr>
          <w:rFonts w:ascii="仿宋_GB2312" w:eastAsia="仿宋_GB2312"/>
          <w:sz w:val="24"/>
          <w:szCs w:val="24"/>
        </w:rPr>
        <w:t>,</w:t>
      </w:r>
      <w:r>
        <w:rPr>
          <w:rFonts w:hint="eastAsia" w:ascii="仿宋_GB2312" w:eastAsia="仿宋_GB2312"/>
          <w:sz w:val="24"/>
          <w:szCs w:val="24"/>
        </w:rPr>
        <w:t>实质上响应要求的投标文件</w:t>
      </w:r>
      <w:r>
        <w:rPr>
          <w:rFonts w:ascii="仿宋_GB2312" w:eastAsia="仿宋_GB2312"/>
          <w:sz w:val="24"/>
          <w:szCs w:val="24"/>
        </w:rPr>
        <w:t>,</w:t>
      </w:r>
      <w:r>
        <w:rPr>
          <w:rFonts w:hint="eastAsia" w:ascii="仿宋_GB2312" w:eastAsia="仿宋_GB2312"/>
          <w:sz w:val="24"/>
          <w:szCs w:val="24"/>
        </w:rPr>
        <w:t>应该与招标文件的所有规定要求、条件、条款和规范相符</w:t>
      </w:r>
      <w:r>
        <w:rPr>
          <w:rFonts w:ascii="仿宋_GB2312" w:eastAsia="仿宋_GB2312"/>
          <w:sz w:val="24"/>
          <w:szCs w:val="24"/>
        </w:rPr>
        <w:t>,</w:t>
      </w:r>
      <w:r>
        <w:rPr>
          <w:rFonts w:hint="eastAsia" w:ascii="仿宋_GB2312" w:eastAsia="仿宋_GB2312"/>
          <w:sz w:val="24"/>
          <w:szCs w:val="24"/>
        </w:rPr>
        <w:t>无显著差异或保留。所谓显著差异或保留是指对工程的发包范围、质量标准及应用产生实质性影响；或者对合同中规定的招标人的权力及投标人的责任造成实质性限制；而且纠正这种差异或保留，将会对其他实质上响应要求的投标人的竞争地位产生不公正的影响。</w:t>
      </w:r>
    </w:p>
    <w:p>
      <w:pPr>
        <w:spacing w:line="480" w:lineRule="exact"/>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4</w:t>
      </w:r>
      <w:r>
        <w:rPr>
          <w:rFonts w:ascii="仿宋_GB2312" w:eastAsia="仿宋_GB2312"/>
          <w:sz w:val="24"/>
          <w:szCs w:val="24"/>
        </w:rPr>
        <w:t>.3</w:t>
      </w:r>
      <w:r>
        <w:rPr>
          <w:rFonts w:hint="eastAsia" w:ascii="仿宋_GB2312" w:eastAsia="仿宋_GB2312"/>
          <w:sz w:val="24"/>
          <w:szCs w:val="24"/>
        </w:rPr>
        <w:t>如果投标文件实质上不响应招标文件的要求</w:t>
      </w:r>
      <w:r>
        <w:rPr>
          <w:rFonts w:ascii="仿宋_GB2312" w:eastAsia="仿宋_GB2312"/>
          <w:sz w:val="24"/>
          <w:szCs w:val="24"/>
        </w:rPr>
        <w:t>,</w:t>
      </w:r>
      <w:r>
        <w:rPr>
          <w:rFonts w:hint="eastAsia" w:ascii="仿宋_GB2312" w:eastAsia="仿宋_GB2312"/>
          <w:sz w:val="24"/>
          <w:szCs w:val="24"/>
        </w:rPr>
        <w:t>招标人将予以拒绝</w:t>
      </w:r>
      <w:r>
        <w:rPr>
          <w:rFonts w:ascii="仿宋_GB2312" w:eastAsia="仿宋_GB2312"/>
          <w:sz w:val="24"/>
          <w:szCs w:val="24"/>
        </w:rPr>
        <w:t>,</w:t>
      </w:r>
      <w:r>
        <w:rPr>
          <w:rFonts w:hint="eastAsia" w:ascii="仿宋_GB2312" w:eastAsia="仿宋_GB2312"/>
          <w:sz w:val="24"/>
          <w:szCs w:val="24"/>
        </w:rPr>
        <w:t>并且不允许通过修正或撤消其不符合要求的差异或保留</w:t>
      </w:r>
      <w:r>
        <w:rPr>
          <w:rFonts w:ascii="仿宋_GB2312" w:eastAsia="仿宋_GB2312"/>
          <w:sz w:val="24"/>
          <w:szCs w:val="24"/>
        </w:rPr>
        <w:t>,</w:t>
      </w:r>
      <w:r>
        <w:rPr>
          <w:rFonts w:hint="eastAsia" w:ascii="仿宋_GB2312" w:eastAsia="仿宋_GB2312"/>
          <w:sz w:val="24"/>
          <w:szCs w:val="24"/>
        </w:rPr>
        <w:t>使之成为具有响应性的投标。</w:t>
      </w:r>
    </w:p>
    <w:p>
      <w:pPr>
        <w:pStyle w:val="24"/>
        <w:snapToGrid w:val="0"/>
        <w:spacing w:line="480" w:lineRule="exact"/>
        <w:rPr>
          <w:rFonts w:ascii="仿宋_GB2312" w:hAnsi="Times New Roman" w:eastAsia="仿宋_GB2312"/>
          <w:sz w:val="24"/>
          <w:szCs w:val="24"/>
        </w:rPr>
      </w:pPr>
      <w:r>
        <w:rPr>
          <w:rFonts w:ascii="仿宋_GB2312" w:hAnsi="Times New Roman" w:eastAsia="仿宋_GB2312"/>
          <w:sz w:val="24"/>
          <w:szCs w:val="24"/>
        </w:rPr>
        <w:t>5</w:t>
      </w:r>
      <w:r>
        <w:rPr>
          <w:rFonts w:hint="eastAsia" w:ascii="仿宋_GB2312" w:hAnsi="Times New Roman" w:eastAsia="仿宋_GB2312"/>
          <w:sz w:val="24"/>
          <w:szCs w:val="24"/>
        </w:rPr>
        <w:t>．</w:t>
      </w:r>
      <w:r>
        <w:rPr>
          <w:rFonts w:ascii="仿宋_GB2312" w:hAnsi="Times New Roman" w:eastAsia="仿宋_GB2312"/>
          <w:sz w:val="24"/>
          <w:szCs w:val="24"/>
        </w:rPr>
        <w:t>评标办法</w:t>
      </w:r>
    </w:p>
    <w:p>
      <w:pPr>
        <w:pStyle w:val="24"/>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5.1 在评标期间，招标人给予投标人</w:t>
      </w:r>
      <w:r>
        <w:rPr>
          <w:rFonts w:hint="eastAsia" w:ascii="仿宋_GB2312" w:hAnsi="Times New Roman" w:eastAsia="仿宋_GB2312"/>
          <w:sz w:val="24"/>
          <w:szCs w:val="24"/>
        </w:rPr>
        <w:t>15</w:t>
      </w:r>
      <w:r>
        <w:rPr>
          <w:rFonts w:ascii="仿宋_GB2312" w:hAnsi="Times New Roman" w:eastAsia="仿宋_GB2312"/>
          <w:sz w:val="24"/>
          <w:szCs w:val="24"/>
        </w:rPr>
        <w:t>分钟陈述时间（其中</w:t>
      </w:r>
      <w:r>
        <w:rPr>
          <w:rFonts w:hint="eastAsia" w:ascii="仿宋_GB2312" w:hAnsi="Times New Roman" w:eastAsia="仿宋_GB2312"/>
          <w:sz w:val="24"/>
          <w:szCs w:val="24"/>
        </w:rPr>
        <w:t>5</w:t>
      </w:r>
      <w:r>
        <w:rPr>
          <w:rFonts w:ascii="仿宋_GB2312" w:hAnsi="Times New Roman" w:eastAsia="仿宋_GB2312"/>
          <w:sz w:val="24"/>
          <w:szCs w:val="24"/>
        </w:rPr>
        <w:t>分钟为投标人陈述总包方案；</w:t>
      </w:r>
      <w:r>
        <w:rPr>
          <w:rFonts w:hint="eastAsia" w:ascii="仿宋_GB2312" w:hAnsi="Times New Roman" w:eastAsia="仿宋_GB2312"/>
          <w:sz w:val="24"/>
          <w:szCs w:val="24"/>
        </w:rPr>
        <w:t>10</w:t>
      </w:r>
      <w:r>
        <w:rPr>
          <w:rFonts w:ascii="仿宋_GB2312" w:hAnsi="Times New Roman" w:eastAsia="仿宋_GB2312"/>
          <w:sz w:val="24"/>
          <w:szCs w:val="24"/>
        </w:rPr>
        <w:t>分钟为评委会针对投标人所提陈述方案进行提问），投标人同时还应将陈述方案及所澄清的问题书面提交评标委员会。</w:t>
      </w:r>
    </w:p>
    <w:p>
      <w:pPr>
        <w:pStyle w:val="24"/>
        <w:snapToGrid w:val="0"/>
        <w:spacing w:line="480" w:lineRule="exact"/>
        <w:ind w:firstLine="540" w:firstLineChars="225"/>
        <w:rPr>
          <w:rFonts w:ascii="仿宋_GB2312" w:eastAsia="仿宋_GB2312"/>
          <w:sz w:val="24"/>
          <w:szCs w:val="24"/>
        </w:rPr>
      </w:pPr>
      <w:r>
        <w:rPr>
          <w:rFonts w:hint="eastAsia" w:ascii="仿宋_GB2312" w:eastAsia="仿宋_GB2312"/>
          <w:sz w:val="24"/>
          <w:szCs w:val="24"/>
        </w:rPr>
        <w:t>5.2评标办法见第九章</w:t>
      </w:r>
      <w:bookmarkStart w:id="25" w:name="_Toc47852430"/>
      <w:bookmarkStart w:id="26" w:name="_Toc48458840"/>
      <w:bookmarkStart w:id="27" w:name="_Toc135305435"/>
      <w:r>
        <w:rPr>
          <w:rFonts w:hint="eastAsia" w:ascii="仿宋_GB2312" w:eastAsia="仿宋_GB2312"/>
          <w:sz w:val="24"/>
          <w:szCs w:val="24"/>
        </w:rPr>
        <w:t>。</w:t>
      </w:r>
    </w:p>
    <w:p>
      <w:pPr>
        <w:pStyle w:val="24"/>
        <w:snapToGrid w:val="0"/>
        <w:spacing w:line="480" w:lineRule="exact"/>
        <w:jc w:val="center"/>
        <w:rPr>
          <w:rFonts w:ascii="黑体" w:hAnsi="Times New Roman" w:eastAsia="黑体"/>
          <w:sz w:val="32"/>
          <w:szCs w:val="32"/>
        </w:rPr>
      </w:pPr>
      <w:r>
        <w:rPr>
          <w:rFonts w:hint="eastAsia" w:ascii="黑体" w:eastAsia="黑体"/>
          <w:bCs/>
          <w:sz w:val="32"/>
          <w:szCs w:val="32"/>
        </w:rPr>
        <w:t>八、授予合同</w:t>
      </w:r>
      <w:bookmarkEnd w:id="25"/>
      <w:bookmarkEnd w:id="26"/>
      <w:bookmarkEnd w:id="27"/>
    </w:p>
    <w:p>
      <w:pPr>
        <w:spacing w:line="480" w:lineRule="exact"/>
        <w:rPr>
          <w:rFonts w:ascii="仿宋_GB2312" w:eastAsia="仿宋_GB2312"/>
          <w:sz w:val="24"/>
        </w:rPr>
      </w:pPr>
      <w:r>
        <w:rPr>
          <w:rFonts w:hint="eastAsia" w:ascii="仿宋_GB2312" w:eastAsia="仿宋_GB2312"/>
          <w:sz w:val="24"/>
        </w:rPr>
        <w:t>1．合同授予标准</w:t>
      </w:r>
    </w:p>
    <w:p>
      <w:pPr>
        <w:spacing w:line="480" w:lineRule="exact"/>
        <w:ind w:firstLine="570"/>
        <w:rPr>
          <w:rFonts w:ascii="仿宋_GB2312" w:eastAsia="仿宋_GB2312"/>
          <w:sz w:val="24"/>
        </w:rPr>
      </w:pPr>
      <w:r>
        <w:rPr>
          <w:rFonts w:hint="eastAsia" w:ascii="仿宋_GB2312" w:eastAsia="仿宋_GB2312"/>
          <w:sz w:val="24"/>
        </w:rPr>
        <w:t>确定为中标的投标人必须是：具有实施本合同的能力、经验、人力、物力、财力和信誉的，设计方案具有明显的先进性合理性并且报价合理的投标人，但不承诺最低报价一定中标。</w:t>
      </w:r>
    </w:p>
    <w:p>
      <w:pPr>
        <w:spacing w:line="480" w:lineRule="exact"/>
        <w:rPr>
          <w:rFonts w:ascii="仿宋_GB2312" w:eastAsia="仿宋_GB2312"/>
          <w:sz w:val="24"/>
        </w:rPr>
      </w:pPr>
      <w:bookmarkStart w:id="28" w:name="_Toc234377907"/>
      <w:bookmarkStart w:id="29" w:name="_Toc135305694"/>
      <w:r>
        <w:rPr>
          <w:rFonts w:hint="eastAsia" w:ascii="仿宋_GB2312" w:eastAsia="仿宋_GB2312"/>
          <w:sz w:val="24"/>
        </w:rPr>
        <w:t>2</w:t>
      </w:r>
      <w:r>
        <w:rPr>
          <w:rFonts w:ascii="仿宋_GB2312" w:eastAsia="仿宋_GB2312"/>
          <w:sz w:val="24"/>
        </w:rPr>
        <w:t>.</w:t>
      </w:r>
      <w:r>
        <w:rPr>
          <w:rFonts w:hint="eastAsia" w:ascii="仿宋_GB2312" w:eastAsia="仿宋_GB2312"/>
          <w:sz w:val="24"/>
        </w:rPr>
        <w:t xml:space="preserve"> 中标通知书</w:t>
      </w:r>
      <w:bookmarkEnd w:id="28"/>
      <w:bookmarkEnd w:id="29"/>
    </w:p>
    <w:p>
      <w:pPr>
        <w:spacing w:line="48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确定出中标单位后，招标人将以书面形式通知中标的投标人其投标被接受。</w:t>
      </w:r>
    </w:p>
    <w:p>
      <w:pPr>
        <w:pStyle w:val="24"/>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2.2中标通知书将成为合同的组成部分。</w:t>
      </w:r>
    </w:p>
    <w:p>
      <w:pPr>
        <w:pStyle w:val="24"/>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2.3在中标单位按规定提供了履约担保后,招标人将及时将未中标的结果通知其他投标人。</w:t>
      </w:r>
    </w:p>
    <w:p>
      <w:pPr>
        <w:spacing w:line="480" w:lineRule="exact"/>
        <w:rPr>
          <w:rFonts w:ascii="仿宋_GB2312" w:eastAsia="仿宋_GB2312"/>
          <w:sz w:val="24"/>
        </w:rPr>
      </w:pPr>
      <w:bookmarkStart w:id="30" w:name="_Toc135305695"/>
      <w:bookmarkStart w:id="31" w:name="_Toc234377908"/>
      <w:r>
        <w:rPr>
          <w:rFonts w:hint="eastAsia" w:ascii="仿宋_GB2312" w:eastAsia="仿宋_GB2312"/>
          <w:sz w:val="24"/>
        </w:rPr>
        <w:t>3．合同协议书的签署</w:t>
      </w:r>
      <w:bookmarkEnd w:id="30"/>
      <w:bookmarkEnd w:id="31"/>
    </w:p>
    <w:p>
      <w:pPr>
        <w:spacing w:line="480" w:lineRule="exact"/>
        <w:ind w:firstLine="540"/>
        <w:rPr>
          <w:rFonts w:ascii="黑体" w:hAnsi="黑体" w:eastAsia="黑体" w:cs="黑体"/>
          <w:sz w:val="32"/>
          <w:szCs w:val="32"/>
        </w:rPr>
      </w:pPr>
      <w:r>
        <w:rPr>
          <w:rFonts w:hint="eastAsia" w:ascii="仿宋_GB2312" w:eastAsia="仿宋_GB2312"/>
          <w:sz w:val="24"/>
        </w:rPr>
        <w:t>招标人有权对投标报价中的错误进行调整。中标单位按中标通知书中规定的日期、时间和地点，由法定代表人或委托代理人前往与业主单位进行签订合同。</w:t>
      </w:r>
      <w:bookmarkStart w:id="32" w:name="_Toc11525"/>
      <w:bookmarkStart w:id="33" w:name="_Toc19223"/>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r>
        <w:rPr>
          <w:rFonts w:hint="eastAsia" w:ascii="黑体" w:hAnsi="黑体" w:eastAsia="黑体" w:cs="黑体"/>
          <w:sz w:val="32"/>
          <w:szCs w:val="32"/>
        </w:rPr>
        <w:t>第三部分   技术文件编制要求</w:t>
      </w:r>
      <w:bookmarkEnd w:id="32"/>
      <w:bookmarkEnd w:id="33"/>
    </w:p>
    <w:p>
      <w:pPr>
        <w:jc w:val="center"/>
        <w:rPr>
          <w:rFonts w:ascii="黑体" w:eastAsia="黑体"/>
          <w:sz w:val="32"/>
          <w:szCs w:val="32"/>
        </w:rPr>
      </w:pPr>
      <w:r>
        <w:rPr>
          <w:rFonts w:hint="eastAsia" w:ascii="黑体" w:eastAsia="黑体"/>
          <w:sz w:val="32"/>
          <w:szCs w:val="32"/>
        </w:rPr>
        <w:t>一、工程概况</w:t>
      </w:r>
    </w:p>
    <w:p>
      <w:pPr>
        <w:pStyle w:val="26"/>
        <w:spacing w:afterLines="100"/>
        <w:ind w:left="0" w:leftChars="0" w:firstLine="480"/>
        <w:rPr>
          <w:rFonts w:hint="eastAsia" w:ascii="仿宋_GB2312" w:eastAsia="仿宋_GB2312"/>
          <w:sz w:val="24"/>
        </w:rPr>
      </w:pPr>
      <w:bookmarkStart w:id="34" w:name="_Toc164677705"/>
      <w:bookmarkStart w:id="35" w:name="_Toc166549676"/>
      <w:r>
        <w:rPr>
          <w:rFonts w:hint="eastAsia" w:ascii="仿宋_GB2312" w:hAnsi="宋体" w:eastAsia="仿宋_GB2312"/>
          <w:sz w:val="24"/>
        </w:rPr>
        <w:t>芜湖新兴</w:t>
      </w:r>
      <w:r>
        <w:rPr>
          <w:rFonts w:hint="eastAsia" w:ascii="仿宋_GB2312" w:hAnsi="宋体" w:eastAsia="仿宋_GB2312"/>
          <w:sz w:val="24"/>
          <w:lang w:eastAsia="zh-CN"/>
        </w:rPr>
        <w:t>新建</w:t>
      </w:r>
      <w:r>
        <w:rPr>
          <w:rFonts w:hint="eastAsia" w:ascii="仿宋_GB2312" w:hAnsi="宋体" w:eastAsia="仿宋_GB2312"/>
          <w:sz w:val="24"/>
        </w:rPr>
        <w:t>65MW煤气发电项目</w:t>
      </w:r>
      <w:r>
        <w:rPr>
          <w:rFonts w:hint="eastAsia" w:ascii="仿宋_GB2312" w:hAnsi="宋体" w:eastAsia="仿宋_GB2312"/>
          <w:sz w:val="24"/>
          <w:lang w:eastAsia="zh-CN"/>
        </w:rPr>
        <w:t>，项目建设地点位于芜湖大桥综合经济开发区高安街道裕民村内，与芜湖新兴铸管有限责任公司主厂区相隔一条小江，项目所需的各种能源介质均从主厂区供应，需要在小江上空建设一趟管廊横穿小江，在小江河道内规划建设四个支柱支撑管廊，支柱直径</w:t>
      </w:r>
      <w:r>
        <w:rPr>
          <w:rFonts w:hint="eastAsia" w:ascii="仿宋_GB2312" w:hAnsi="宋体" w:eastAsia="仿宋_GB2312"/>
          <w:sz w:val="24"/>
          <w:lang w:val="en-US" w:eastAsia="zh-CN"/>
        </w:rPr>
        <w:t>1.8m，跨小江管廊长度约为325m。项目建设需要做防洪评价报告。</w:t>
      </w:r>
    </w:p>
    <w:p>
      <w:pPr>
        <w:pStyle w:val="26"/>
        <w:spacing w:afterLines="100"/>
        <w:ind w:left="0" w:leftChars="0" w:firstLine="480"/>
        <w:jc w:val="center"/>
        <w:rPr>
          <w:rFonts w:ascii="黑体" w:eastAsia="黑体"/>
          <w:sz w:val="32"/>
          <w:szCs w:val="32"/>
        </w:rPr>
      </w:pPr>
      <w:r>
        <w:rPr>
          <w:rFonts w:hint="eastAsia" w:ascii="黑体" w:eastAsia="黑体"/>
          <w:sz w:val="32"/>
          <w:szCs w:val="32"/>
        </w:rPr>
        <w:t>二、技术</w:t>
      </w:r>
      <w:bookmarkEnd w:id="34"/>
      <w:bookmarkEnd w:id="35"/>
      <w:r>
        <w:rPr>
          <w:rFonts w:hint="eastAsia" w:ascii="黑体" w:eastAsia="黑体"/>
          <w:sz w:val="32"/>
          <w:szCs w:val="32"/>
        </w:rPr>
        <w:t>要求</w:t>
      </w:r>
    </w:p>
    <w:p>
      <w:pPr>
        <w:pStyle w:val="26"/>
        <w:spacing w:afterLines="100"/>
        <w:ind w:left="0" w:leftChars="0"/>
        <w:rPr>
          <w:rFonts w:ascii="仿宋_GB2312" w:eastAsia="仿宋_GB2312"/>
          <w:sz w:val="24"/>
        </w:rPr>
      </w:pPr>
      <w:r>
        <w:rPr>
          <w:rFonts w:hint="eastAsia" w:ascii="仿宋_GB2312" w:eastAsia="仿宋_GB2312"/>
          <w:sz w:val="24"/>
        </w:rPr>
        <w:t>阐述项目申请报告编制的主要组成和内容。</w:t>
      </w:r>
    </w:p>
    <w:p>
      <w:pPr>
        <w:pStyle w:val="2"/>
        <w:numPr>
          <w:ilvl w:val="0"/>
          <w:numId w:val="0"/>
        </w:numPr>
        <w:tabs>
          <w:tab w:val="clear" w:pos="360"/>
        </w:tabs>
        <w:jc w:val="center"/>
        <w:rPr>
          <w:rFonts w:ascii="黑体" w:hAnsi="黑体" w:eastAsia="黑体" w:cs="黑体"/>
          <w:sz w:val="32"/>
          <w:szCs w:val="32"/>
        </w:rPr>
      </w:pPr>
      <w:bookmarkStart w:id="36" w:name="_Toc8176"/>
      <w:bookmarkStart w:id="37" w:name="_Toc22434"/>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ascii="黑体" w:hAnsi="黑体" w:eastAsia="黑体" w:cs="黑体"/>
          <w:sz w:val="32"/>
          <w:szCs w:val="32"/>
        </w:rPr>
      </w:pPr>
    </w:p>
    <w:p>
      <w:pPr>
        <w:pStyle w:val="2"/>
        <w:numPr>
          <w:ilvl w:val="0"/>
          <w:numId w:val="0"/>
        </w:numPr>
        <w:tabs>
          <w:tab w:val="clear" w:pos="360"/>
        </w:tabs>
        <w:jc w:val="center"/>
        <w:rPr>
          <w:rFonts w:hint="eastAsia" w:ascii="黑体" w:hAnsi="黑体" w:eastAsia="黑体" w:cs="黑体"/>
          <w:sz w:val="32"/>
          <w:szCs w:val="32"/>
        </w:rPr>
      </w:pPr>
    </w:p>
    <w:p>
      <w:pPr>
        <w:pStyle w:val="2"/>
        <w:numPr>
          <w:ilvl w:val="0"/>
          <w:numId w:val="0"/>
        </w:numPr>
        <w:tabs>
          <w:tab w:val="clear" w:pos="360"/>
        </w:tabs>
        <w:jc w:val="center"/>
        <w:rPr>
          <w:rFonts w:ascii="黑体" w:eastAsia="黑体"/>
          <w:szCs w:val="32"/>
        </w:rPr>
      </w:pPr>
      <w:r>
        <w:rPr>
          <w:rFonts w:hint="eastAsia" w:ascii="黑体" w:hAnsi="黑体" w:eastAsia="黑体" w:cs="黑体"/>
          <w:sz w:val="32"/>
          <w:szCs w:val="32"/>
        </w:rPr>
        <w:t>第四部分   投标文件的组成</w:t>
      </w:r>
      <w:bookmarkEnd w:id="36"/>
      <w:bookmarkEnd w:id="37"/>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1、开标一览表（格式见附件一）</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2、投标单位概况</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3、工程投标报价汇总表</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4、</w:t>
      </w:r>
      <w:r>
        <w:rPr>
          <w:rFonts w:ascii="仿宋_GB2312" w:hAnsi="仿宋_GB2312" w:eastAsia="仿宋_GB2312"/>
          <w:bCs/>
          <w:sz w:val="24"/>
        </w:rPr>
        <w:t>总体</w:t>
      </w:r>
      <w:r>
        <w:rPr>
          <w:rFonts w:hint="eastAsia" w:ascii="仿宋_GB2312" w:hAnsi="仿宋_GB2312" w:eastAsia="仿宋_GB2312"/>
          <w:bCs/>
          <w:sz w:val="24"/>
        </w:rPr>
        <w:t>工程</w:t>
      </w:r>
      <w:r>
        <w:rPr>
          <w:rFonts w:ascii="仿宋_GB2312" w:hAnsi="仿宋_GB2312" w:eastAsia="仿宋_GB2312"/>
          <w:bCs/>
          <w:sz w:val="24"/>
        </w:rPr>
        <w:t>进度</w:t>
      </w:r>
      <w:r>
        <w:rPr>
          <w:rFonts w:hint="eastAsia" w:ascii="仿宋_GB2312" w:hAnsi="仿宋_GB2312" w:eastAsia="仿宋_GB2312"/>
          <w:bCs/>
          <w:sz w:val="24"/>
        </w:rPr>
        <w:t>计划</w:t>
      </w:r>
    </w:p>
    <w:p>
      <w:pPr>
        <w:tabs>
          <w:tab w:val="left" w:pos="765"/>
        </w:tabs>
        <w:spacing w:line="360" w:lineRule="auto"/>
        <w:rPr>
          <w:rFonts w:ascii="仿宋_GB2312" w:eastAsia="仿宋_GB2312"/>
          <w:sz w:val="24"/>
        </w:rPr>
      </w:pPr>
      <w:r>
        <w:rPr>
          <w:rFonts w:hint="eastAsia" w:ascii="仿宋_GB2312" w:eastAsia="仿宋_GB2312"/>
          <w:sz w:val="24"/>
        </w:rPr>
        <w:t xml:space="preserve">    5、资质证书副本（复印件）</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6、法定代表人资格证书及身份证复印件（或法定代表人授权委托书及被委托人身份证复印件）</w:t>
      </w:r>
    </w:p>
    <w:p>
      <w:pPr>
        <w:pStyle w:val="27"/>
        <w:spacing w:before="120" w:after="120" w:line="400" w:lineRule="exact"/>
        <w:jc w:val="left"/>
        <w:rPr>
          <w:b w:val="0"/>
          <w:bCs w:val="0"/>
        </w:rPr>
      </w:pPr>
      <w:bookmarkStart w:id="38" w:name="_Toc177186413"/>
      <w:bookmarkStart w:id="39" w:name="_Toc395770500"/>
      <w:r>
        <w:rPr>
          <w:rFonts w:hint="eastAsia"/>
          <w:b w:val="0"/>
          <w:bCs w:val="0"/>
        </w:rPr>
        <w:t>附件一：</w:t>
      </w:r>
    </w:p>
    <w:p>
      <w:pPr>
        <w:pStyle w:val="27"/>
        <w:spacing w:before="120" w:after="120" w:line="400" w:lineRule="exact"/>
        <w:jc w:val="center"/>
      </w:pPr>
      <w:r>
        <w:rPr>
          <w:rFonts w:hint="eastAsia"/>
          <w:b w:val="0"/>
          <w:bCs w:val="0"/>
        </w:rPr>
        <w:t>开标一览表</w:t>
      </w:r>
      <w:bookmarkEnd w:id="38"/>
      <w:bookmarkEnd w:id="39"/>
    </w:p>
    <w:p>
      <w:pPr>
        <w:jc w:val="left"/>
        <w:rPr>
          <w:rFonts w:ascii="宋体" w:hAnsi="宋体"/>
          <w:b/>
          <w:sz w:val="24"/>
          <w:u w:val="single"/>
        </w:rPr>
      </w:pPr>
      <w:r>
        <w:rPr>
          <w:rFonts w:hint="eastAsia" w:ascii="宋体" w:hAnsi="宋体"/>
          <w:b/>
          <w:sz w:val="24"/>
        </w:rPr>
        <w:t>招标编号：                                                                货币单位：</w:t>
      </w:r>
      <w:r>
        <w:rPr>
          <w:rFonts w:hint="eastAsia" w:ascii="宋体" w:hAnsi="宋体"/>
          <w:b/>
          <w:sz w:val="24"/>
          <w:u w:val="single"/>
        </w:rPr>
        <w:t xml:space="preserve">万元        </w:t>
      </w:r>
    </w:p>
    <w:p>
      <w:pPr>
        <w:jc w:val="left"/>
        <w:rPr>
          <w:rFonts w:ascii="宋体" w:hAnsi="宋体"/>
          <w:b/>
          <w:sz w:val="24"/>
          <w:u w:val="single"/>
        </w:rPr>
      </w:pP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646"/>
        <w:gridCol w:w="1175"/>
        <w:gridCol w:w="219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2737" w:type="dxa"/>
            <w:vAlign w:val="center"/>
          </w:tcPr>
          <w:p>
            <w:pPr>
              <w:jc w:val="center"/>
              <w:rPr>
                <w:rFonts w:ascii="宋体" w:hAnsi="宋体"/>
                <w:sz w:val="24"/>
              </w:rPr>
            </w:pPr>
            <w:r>
              <w:rPr>
                <w:rFonts w:hint="eastAsia" w:ascii="宋体" w:hAnsi="宋体"/>
                <w:sz w:val="24"/>
              </w:rPr>
              <w:t>工程名称</w:t>
            </w:r>
          </w:p>
        </w:tc>
        <w:tc>
          <w:tcPr>
            <w:tcW w:w="1646" w:type="dxa"/>
            <w:vAlign w:val="center"/>
          </w:tcPr>
          <w:p>
            <w:pPr>
              <w:jc w:val="center"/>
              <w:rPr>
                <w:rFonts w:ascii="宋体" w:hAnsi="宋体"/>
                <w:sz w:val="24"/>
              </w:rPr>
            </w:pPr>
            <w:r>
              <w:rPr>
                <w:rFonts w:hint="eastAsia" w:ascii="宋体" w:hAnsi="宋体"/>
                <w:sz w:val="24"/>
              </w:rPr>
              <w:t>投标报价</w:t>
            </w:r>
          </w:p>
        </w:tc>
        <w:tc>
          <w:tcPr>
            <w:tcW w:w="1175" w:type="dxa"/>
            <w:vAlign w:val="center"/>
          </w:tcPr>
          <w:p>
            <w:pPr>
              <w:jc w:val="center"/>
              <w:rPr>
                <w:rFonts w:ascii="宋体" w:hAnsi="宋体"/>
                <w:sz w:val="24"/>
              </w:rPr>
            </w:pPr>
            <w:r>
              <w:rPr>
                <w:rFonts w:hint="eastAsia" w:ascii="宋体" w:hAnsi="宋体"/>
                <w:sz w:val="24"/>
              </w:rPr>
              <w:t>工期</w:t>
            </w:r>
          </w:p>
        </w:tc>
        <w:tc>
          <w:tcPr>
            <w:tcW w:w="2196" w:type="dxa"/>
            <w:vAlign w:val="center"/>
          </w:tcPr>
          <w:p>
            <w:pPr>
              <w:jc w:val="center"/>
              <w:rPr>
                <w:rFonts w:ascii="宋体" w:hAnsi="宋体"/>
                <w:sz w:val="24"/>
              </w:rPr>
            </w:pPr>
            <w:r>
              <w:rPr>
                <w:rFonts w:hint="eastAsia" w:ascii="宋体" w:hAnsi="宋体"/>
                <w:sz w:val="24"/>
              </w:rPr>
              <w:t>质量承诺</w:t>
            </w:r>
          </w:p>
        </w:tc>
        <w:tc>
          <w:tcPr>
            <w:tcW w:w="768" w:type="dxa"/>
            <w:vAlign w:val="center"/>
          </w:tcPr>
          <w:p>
            <w:pPr>
              <w:pStyle w:val="28"/>
              <w:widowControl w:val="0"/>
              <w:adjustRightInd w:val="0"/>
              <w:spacing w:before="0" w:beforeAutospacing="0" w:after="0" w:afterAutospacing="0" w:line="360" w:lineRule="atLeast"/>
              <w:textAlignment w:val="baseline"/>
              <w:rPr>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737" w:type="dxa"/>
            <w:vAlign w:val="center"/>
          </w:tcPr>
          <w:p>
            <w:pPr>
              <w:rPr>
                <w:rFonts w:ascii="宋体" w:hAnsi="宋体"/>
                <w:sz w:val="24"/>
              </w:rPr>
            </w:pPr>
          </w:p>
        </w:tc>
        <w:tc>
          <w:tcPr>
            <w:tcW w:w="1646" w:type="dxa"/>
            <w:vAlign w:val="center"/>
          </w:tcPr>
          <w:p>
            <w:pPr>
              <w:jc w:val="center"/>
              <w:rPr>
                <w:rFonts w:ascii="宋体" w:hAnsi="宋体"/>
                <w:sz w:val="24"/>
              </w:rPr>
            </w:pPr>
          </w:p>
        </w:tc>
        <w:tc>
          <w:tcPr>
            <w:tcW w:w="1175" w:type="dxa"/>
            <w:vAlign w:val="center"/>
          </w:tcPr>
          <w:p>
            <w:pPr>
              <w:adjustRightInd w:val="0"/>
              <w:spacing w:line="360" w:lineRule="atLeast"/>
              <w:rPr>
                <w:rFonts w:ascii="宋体" w:hAnsi="宋体"/>
                <w:sz w:val="24"/>
              </w:rPr>
            </w:pPr>
          </w:p>
        </w:tc>
        <w:tc>
          <w:tcPr>
            <w:tcW w:w="2196" w:type="dxa"/>
            <w:vAlign w:val="center"/>
          </w:tcPr>
          <w:p>
            <w:pPr>
              <w:adjustRightInd w:val="0"/>
              <w:spacing w:line="360" w:lineRule="atLeast"/>
              <w:rPr>
                <w:rFonts w:ascii="宋体" w:hAnsi="宋体"/>
                <w:sz w:val="24"/>
              </w:rPr>
            </w:pPr>
          </w:p>
        </w:tc>
        <w:tc>
          <w:tcPr>
            <w:tcW w:w="76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8522" w:type="dxa"/>
            <w:gridSpan w:val="5"/>
            <w:vAlign w:val="center"/>
          </w:tcPr>
          <w:p>
            <w:pPr>
              <w:rPr>
                <w:rFonts w:ascii="宋体" w:hAnsi="宋体"/>
                <w:sz w:val="24"/>
              </w:rPr>
            </w:pPr>
            <w:r>
              <w:rPr>
                <w:rFonts w:hint="eastAsia" w:ascii="宋体" w:hAnsi="宋体"/>
                <w:sz w:val="24"/>
              </w:rPr>
              <w:t xml:space="preserve">  投 标 总 价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737" w:type="dxa"/>
            <w:vAlign w:val="center"/>
          </w:tcPr>
          <w:p>
            <w:pPr>
              <w:rPr>
                <w:rFonts w:ascii="宋体" w:hAnsi="宋体"/>
                <w:sz w:val="24"/>
              </w:rPr>
            </w:pPr>
            <w:r>
              <w:rPr>
                <w:rFonts w:hint="eastAsia" w:ascii="宋体" w:hAnsi="宋体"/>
                <w:sz w:val="24"/>
              </w:rPr>
              <w:t>其它说明：</w:t>
            </w:r>
          </w:p>
        </w:tc>
        <w:tc>
          <w:tcPr>
            <w:tcW w:w="5785" w:type="dxa"/>
            <w:gridSpan w:val="4"/>
            <w:vAlign w:val="center"/>
          </w:tcPr>
          <w:p>
            <w:pPr>
              <w:rPr>
                <w:rFonts w:ascii="宋体" w:hAnsi="宋体"/>
                <w:sz w:val="24"/>
              </w:rPr>
            </w:pPr>
          </w:p>
        </w:tc>
      </w:tr>
    </w:tbl>
    <w:p>
      <w:pPr>
        <w:rPr>
          <w:rFonts w:ascii="宋体" w:hAnsi="宋体"/>
          <w:sz w:val="24"/>
        </w:rPr>
      </w:pPr>
    </w:p>
    <w:p>
      <w:pPr>
        <w:rPr>
          <w:rFonts w:ascii="宋体" w:hAnsi="宋体"/>
          <w:sz w:val="24"/>
          <w:szCs w:val="20"/>
        </w:rPr>
      </w:pPr>
      <w:r>
        <w:rPr>
          <w:rFonts w:hint="eastAsia" w:ascii="宋体" w:hAnsi="宋体"/>
          <w:sz w:val="24"/>
        </w:rPr>
        <w:t>注：</w:t>
      </w:r>
    </w:p>
    <w:p>
      <w:pPr>
        <w:ind w:firstLine="482" w:firstLineChars="200"/>
        <w:rPr>
          <w:rFonts w:ascii="宋体" w:hAnsi="宋体"/>
          <w:b/>
          <w:sz w:val="24"/>
        </w:rPr>
      </w:pPr>
      <w:r>
        <w:rPr>
          <w:rFonts w:hint="eastAsia" w:ascii="宋体" w:hAnsi="宋体"/>
          <w:b/>
          <w:sz w:val="24"/>
        </w:rPr>
        <w:t>1. 此表除应在投标文件中附有外，还应与投标函复印件等一同装在一个单独的信封内密封。</w:t>
      </w:r>
    </w:p>
    <w:p>
      <w:pPr>
        <w:rPr>
          <w:rFonts w:ascii="宋体" w:hAnsi="宋体"/>
          <w:sz w:val="24"/>
        </w:rPr>
      </w:pPr>
    </w:p>
    <w:p>
      <w:pPr>
        <w:rPr>
          <w:rFonts w:ascii="宋体" w:hAnsi="宋体"/>
          <w:color w:val="000000"/>
          <w:sz w:val="24"/>
          <w:u w:val="single"/>
        </w:rPr>
      </w:pPr>
      <w:r>
        <w:rPr>
          <w:rFonts w:hint="eastAsia" w:ascii="宋体" w:hAnsi="宋体"/>
          <w:sz w:val="24"/>
        </w:rPr>
        <w:t>投标人名称：_</w:t>
      </w:r>
    </w:p>
    <w:p>
      <w:pPr>
        <w:rPr>
          <w:rFonts w:ascii="宋体" w:hAnsi="宋体"/>
          <w:sz w:val="24"/>
        </w:rPr>
      </w:pPr>
    </w:p>
    <w:p>
      <w:pPr>
        <w:rPr>
          <w:rFonts w:ascii="宋体" w:hAnsi="宋体" w:cs="宋体"/>
          <w:sz w:val="24"/>
        </w:rPr>
      </w:pPr>
      <w:r>
        <w:rPr>
          <w:rFonts w:hint="eastAsia" w:ascii="宋体" w:hAnsi="宋体"/>
          <w:sz w:val="24"/>
        </w:rPr>
        <w:t>投标人代表签字：______________（签字）  职务： 日期：</w:t>
      </w:r>
    </w:p>
    <w:p>
      <w:pPr>
        <w:pStyle w:val="2"/>
        <w:numPr>
          <w:ilvl w:val="0"/>
          <w:numId w:val="0"/>
        </w:numPr>
        <w:tabs>
          <w:tab w:val="clear" w:pos="360"/>
        </w:tabs>
        <w:rPr>
          <w:rFonts w:ascii="黑体" w:hAnsi="黑体" w:eastAsia="黑体" w:cs="黑体"/>
          <w:sz w:val="32"/>
          <w:szCs w:val="32"/>
        </w:rPr>
      </w:pPr>
      <w:bookmarkStart w:id="40" w:name="_Toc18002"/>
      <w:bookmarkStart w:id="41" w:name="_Toc6636"/>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sz w:val="32"/>
          <w:szCs w:val="32"/>
        </w:rPr>
      </w:pPr>
    </w:p>
    <w:p>
      <w:pPr>
        <w:pStyle w:val="2"/>
        <w:numPr>
          <w:ilvl w:val="0"/>
          <w:numId w:val="0"/>
        </w:numPr>
        <w:tabs>
          <w:tab w:val="clear" w:pos="360"/>
        </w:tabs>
        <w:jc w:val="center"/>
      </w:pPr>
      <w:r>
        <w:rPr>
          <w:rFonts w:hint="eastAsia" w:ascii="黑体" w:hAnsi="黑体" w:eastAsia="黑体" w:cs="黑体"/>
          <w:sz w:val="32"/>
          <w:szCs w:val="32"/>
        </w:rPr>
        <w:t>第五部分   评标办法</w:t>
      </w:r>
      <w:bookmarkEnd w:id="40"/>
      <w:bookmarkEnd w:id="41"/>
    </w:p>
    <w:p>
      <w:pPr>
        <w:snapToGrid w:val="0"/>
        <w:spacing w:line="400" w:lineRule="exact"/>
        <w:ind w:firstLine="482" w:firstLineChars="200"/>
        <w:jc w:val="left"/>
        <w:rPr>
          <w:rFonts w:ascii="仿宋_GB2312" w:hAnsi="宋体" w:eastAsia="仿宋_GB2312"/>
          <w:sz w:val="24"/>
        </w:rPr>
      </w:pPr>
      <w:r>
        <w:rPr>
          <w:rFonts w:hint="eastAsia" w:ascii="仿宋_GB2312" w:hAnsi="宋体" w:eastAsia="仿宋_GB2312"/>
          <w:b/>
          <w:sz w:val="24"/>
        </w:rPr>
        <w:t>1、评标办法及评标程序：</w:t>
      </w:r>
    </w:p>
    <w:p>
      <w:pPr>
        <w:spacing w:line="400" w:lineRule="exact"/>
        <w:ind w:firstLine="480" w:firstLineChars="200"/>
        <w:jc w:val="left"/>
        <w:rPr>
          <w:rFonts w:ascii="仿宋_GB2312" w:eastAsia="仿宋_GB2312"/>
          <w:sz w:val="24"/>
        </w:rPr>
      </w:pPr>
      <w:r>
        <w:rPr>
          <w:rFonts w:hint="eastAsia" w:ascii="仿宋_GB2312" w:eastAsia="仿宋_GB2312"/>
          <w:sz w:val="24"/>
        </w:rPr>
        <w:t>检查和</w:t>
      </w:r>
      <w:r>
        <w:rPr>
          <w:rFonts w:hint="eastAsia" w:ascii="仿宋_GB2312" w:hAnsi="宋体" w:eastAsia="仿宋_GB2312"/>
          <w:sz w:val="24"/>
        </w:rPr>
        <w:t>合格性评审：</w:t>
      </w:r>
      <w:r>
        <w:rPr>
          <w:rFonts w:hint="eastAsia" w:ascii="仿宋_GB2312" w:eastAsia="仿宋_GB2312"/>
          <w:sz w:val="24"/>
        </w:rPr>
        <w:t>先对投标文件的内容和格式进行检查、再进行综合合格性评审。</w:t>
      </w:r>
    </w:p>
    <w:p>
      <w:pPr>
        <w:spacing w:line="400" w:lineRule="exact"/>
        <w:ind w:firstLine="480" w:firstLineChars="200"/>
        <w:jc w:val="left"/>
        <w:rPr>
          <w:rFonts w:ascii="仿宋_GB2312" w:eastAsia="仿宋_GB2312"/>
          <w:sz w:val="24"/>
        </w:rPr>
      </w:pPr>
      <w:r>
        <w:rPr>
          <w:rFonts w:hint="eastAsia" w:ascii="仿宋_GB2312" w:eastAsia="仿宋_GB2312"/>
          <w:sz w:val="24"/>
        </w:rPr>
        <w:t>2、现场开标，投标书当众启封，由甲方评标小组根据资质、报价、质量、工期、业绩、标书和本工程项目部班子情况，实行打分制，分值较高（不公布具体分值）的前三位或四位投标人分别为推选中标单位，呈报甲方招标委员会审批。</w:t>
      </w:r>
    </w:p>
    <w:p>
      <w:pPr>
        <w:spacing w:line="400" w:lineRule="exact"/>
        <w:ind w:firstLine="480" w:firstLineChars="200"/>
        <w:jc w:val="left"/>
        <w:rPr>
          <w:rFonts w:ascii="仿宋_GB2312" w:eastAsia="仿宋_GB2312"/>
          <w:sz w:val="24"/>
        </w:rPr>
      </w:pPr>
      <w:r>
        <w:rPr>
          <w:rFonts w:hint="eastAsia" w:ascii="仿宋_GB2312" w:eastAsia="仿宋_GB2312"/>
          <w:sz w:val="24"/>
        </w:rPr>
        <w:t>3、投标方的资质不达标或近年内发生过重大设计或施工事故的，实行一票否决制。</w:t>
      </w:r>
    </w:p>
    <w:p>
      <w:pPr>
        <w:spacing w:line="400" w:lineRule="exact"/>
        <w:ind w:firstLine="480" w:firstLineChars="200"/>
        <w:jc w:val="left"/>
        <w:rPr>
          <w:rFonts w:ascii="仿宋_GB2312" w:eastAsia="仿宋_GB2312"/>
          <w:sz w:val="24"/>
        </w:rPr>
      </w:pPr>
      <w:r>
        <w:rPr>
          <w:rFonts w:hint="eastAsia" w:ascii="仿宋_GB2312" w:eastAsia="仿宋_GB2312"/>
          <w:sz w:val="24"/>
        </w:rPr>
        <w:t>4、以下情况视为废标或弃标</w:t>
      </w:r>
    </w:p>
    <w:p>
      <w:pPr>
        <w:spacing w:line="400" w:lineRule="exact"/>
        <w:ind w:firstLine="480" w:firstLineChars="200"/>
        <w:jc w:val="left"/>
        <w:rPr>
          <w:rFonts w:ascii="仿宋_GB2312" w:eastAsia="仿宋_GB2312"/>
          <w:sz w:val="24"/>
        </w:rPr>
      </w:pPr>
      <w:r>
        <w:rPr>
          <w:rFonts w:hint="eastAsia" w:ascii="仿宋_GB2312" w:eastAsia="仿宋_GB2312"/>
          <w:sz w:val="24"/>
        </w:rPr>
        <w:t>（1）标书未密封或字迹模糊辨认不清或内容有重大遗漏的。</w:t>
      </w:r>
    </w:p>
    <w:p>
      <w:pPr>
        <w:spacing w:line="400" w:lineRule="exact"/>
        <w:ind w:firstLine="480" w:firstLineChars="200"/>
        <w:jc w:val="left"/>
        <w:rPr>
          <w:rFonts w:ascii="仿宋_GB2312" w:eastAsia="仿宋_GB2312"/>
          <w:sz w:val="24"/>
        </w:rPr>
      </w:pPr>
      <w:r>
        <w:rPr>
          <w:rFonts w:hint="eastAsia" w:ascii="仿宋_GB2312" w:eastAsia="仿宋_GB2312"/>
          <w:sz w:val="24"/>
        </w:rPr>
        <w:t>（2）标书未按要求加盖单位公章和法定代表人印章的。</w:t>
      </w:r>
    </w:p>
    <w:p>
      <w:pPr>
        <w:spacing w:line="400" w:lineRule="exact"/>
        <w:ind w:firstLine="480" w:firstLineChars="200"/>
        <w:jc w:val="left"/>
        <w:rPr>
          <w:rFonts w:ascii="仿宋_GB2312" w:eastAsia="仿宋_GB2312"/>
          <w:sz w:val="24"/>
        </w:rPr>
      </w:pPr>
      <w:r>
        <w:rPr>
          <w:rFonts w:hint="eastAsia" w:ascii="仿宋_GB2312" w:eastAsia="仿宋_GB2312"/>
          <w:sz w:val="24"/>
        </w:rPr>
        <w:t>（3）投标单位法定代表人未参加，并且委托代理人没有委托书的。</w:t>
      </w:r>
    </w:p>
    <w:p>
      <w:pPr>
        <w:spacing w:line="400" w:lineRule="exact"/>
        <w:ind w:firstLine="480" w:firstLineChars="200"/>
        <w:jc w:val="left"/>
        <w:rPr>
          <w:rFonts w:ascii="仿宋_GB2312" w:eastAsia="仿宋_GB2312"/>
          <w:sz w:val="24"/>
        </w:rPr>
      </w:pPr>
      <w:r>
        <w:rPr>
          <w:rFonts w:hint="eastAsia" w:ascii="仿宋_GB2312" w:eastAsia="仿宋_GB2312"/>
          <w:sz w:val="24"/>
        </w:rPr>
        <w:t>（4）投标方有串标行为的。</w:t>
      </w:r>
    </w:p>
    <w:p>
      <w:pPr>
        <w:spacing w:line="400" w:lineRule="exact"/>
        <w:ind w:firstLine="480" w:firstLineChars="200"/>
        <w:jc w:val="left"/>
        <w:rPr>
          <w:rFonts w:ascii="仿宋_GB2312" w:eastAsia="仿宋_GB2312"/>
          <w:sz w:val="24"/>
        </w:rPr>
      </w:pPr>
      <w:r>
        <w:rPr>
          <w:rFonts w:hint="eastAsia" w:ascii="仿宋_GB2312" w:eastAsia="仿宋_GB2312"/>
          <w:sz w:val="24"/>
        </w:rPr>
        <w:t>（5）投标方未按时送达标书和资质，或者未按时参加开标会的。</w:t>
      </w:r>
    </w:p>
    <w:p>
      <w:pPr>
        <w:spacing w:line="400" w:lineRule="exact"/>
        <w:ind w:firstLine="480" w:firstLineChars="200"/>
        <w:jc w:val="left"/>
        <w:rPr>
          <w:rFonts w:ascii="仿宋_GB2312" w:eastAsia="仿宋_GB2312"/>
          <w:sz w:val="24"/>
        </w:rPr>
      </w:pPr>
    </w:p>
    <w:p>
      <w:pPr>
        <w:spacing w:line="400" w:lineRule="exact"/>
        <w:ind w:firstLine="480" w:firstLineChars="200"/>
        <w:jc w:val="left"/>
        <w:rPr>
          <w:rFonts w:ascii="仿宋_GB2312" w:eastAsia="仿宋_GB2312"/>
          <w:sz w:val="24"/>
        </w:rPr>
      </w:pPr>
    </w:p>
    <w:p>
      <w:pPr>
        <w:rPr>
          <w:rFonts w:ascii="黑体" w:eastAsia="黑体"/>
          <w:sz w:val="32"/>
          <w:szCs w:val="32"/>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RomanS">
    <w:altName w:val="Palatino Linotype"/>
    <w:panose1 w:val="02000400000000000000"/>
    <w:charset w:val="00"/>
    <w:family w:val="auto"/>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33"/>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33"/>
      </w:rPr>
    </w:pPr>
    <w:r>
      <w:fldChar w:fldCharType="begin"/>
    </w:r>
    <w:r>
      <w:rPr>
        <w:rStyle w:val="33"/>
      </w:rPr>
      <w:instrText xml:space="preserve">PAGE  </w:instrText>
    </w:r>
    <w:r>
      <w:fldChar w:fldCharType="separate"/>
    </w:r>
    <w:r>
      <w:rPr>
        <w:rStyle w:val="33"/>
      </w:rPr>
      <w:t>- 1 -</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33"/>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H1D1hvQEAAGsDAAAOAAAAAAAAAAEAIAAAAB4BAABkcnMvZTJvRG9jLnhtbFBLBQYAAAAA&#10;BgAGAFkBAABNBQ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pStyle w:val="5"/>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1">
    <w:nsid w:val="0000000D"/>
    <w:multiLevelType w:val="multilevel"/>
    <w:tmpl w:val="0000000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7DF388"/>
    <w:multiLevelType w:val="multilevel"/>
    <w:tmpl w:val="577DF388"/>
    <w:lvl w:ilvl="0" w:tentative="0">
      <w:start w:val="1"/>
      <w:numFmt w:val="decimal"/>
      <w:pStyle w:val="2"/>
      <w:lvlText w:val="%1."/>
      <w:lvlJc w:val="left"/>
      <w:pPr>
        <w:tabs>
          <w:tab w:val="left" w:pos="360"/>
        </w:tabs>
        <w:ind w:left="357" w:hanging="357"/>
      </w:pPr>
      <w:rPr>
        <w:rFonts w:hint="default" w:ascii="Arial" w:hAnsi="Arial" w:eastAsia="宋体"/>
        <w:b/>
        <w:i w:val="0"/>
        <w:spacing w:val="0"/>
        <w:w w:val="100"/>
        <w:kern w:val="0"/>
        <w:position w:val="0"/>
        <w:sz w:val="28"/>
      </w:rPr>
    </w:lvl>
    <w:lvl w:ilvl="1" w:tentative="0">
      <w:start w:val="1"/>
      <w:numFmt w:val="decimal"/>
      <w:lvlText w:val="%1.%2"/>
      <w:lvlJc w:val="left"/>
      <w:pPr>
        <w:tabs>
          <w:tab w:val="left" w:pos="567"/>
        </w:tabs>
        <w:ind w:left="567" w:hanging="567"/>
      </w:pPr>
      <w:rPr>
        <w:rFonts w:hint="default" w:ascii="Arial" w:hAnsi="Arial" w:eastAsia="宋体"/>
        <w:b/>
        <w:i w:val="0"/>
        <w:spacing w:val="0"/>
        <w:w w:val="100"/>
        <w:kern w:val="0"/>
        <w:position w:val="0"/>
        <w:sz w:val="28"/>
      </w:rPr>
    </w:lvl>
    <w:lvl w:ilvl="2" w:tentative="0">
      <w:start w:val="1"/>
      <w:numFmt w:val="decimal"/>
      <w:lvlText w:val="%1.%2.%3"/>
      <w:lvlJc w:val="left"/>
      <w:pPr>
        <w:tabs>
          <w:tab w:val="left" w:pos="822"/>
        </w:tabs>
        <w:ind w:left="822" w:hanging="822"/>
      </w:pPr>
      <w:rPr>
        <w:rFonts w:hint="default" w:ascii="Arial" w:hAnsi="Arial" w:eastAsia="宋体"/>
        <w:b/>
        <w:i w:val="0"/>
        <w:spacing w:val="0"/>
        <w:w w:val="100"/>
        <w:kern w:val="0"/>
        <w:position w:val="0"/>
        <w:sz w:val="28"/>
      </w:rPr>
    </w:lvl>
    <w:lvl w:ilvl="3" w:tentative="0">
      <w:start w:val="1"/>
      <w:numFmt w:val="decimal"/>
      <w:lvlText w:val="%1.%2.%3.%4"/>
      <w:lvlJc w:val="left"/>
      <w:pPr>
        <w:tabs>
          <w:tab w:val="left" w:pos="981"/>
        </w:tabs>
        <w:ind w:left="981" w:hanging="981"/>
      </w:pPr>
      <w:rPr>
        <w:rFonts w:hint="default" w:ascii="Arial" w:hAnsi="Arial" w:eastAsia="宋体"/>
        <w:b/>
        <w:i w:val="0"/>
        <w:spacing w:val="0"/>
        <w:w w:val="100"/>
        <w:kern w:val="0"/>
        <w:position w:val="0"/>
        <w:sz w:val="28"/>
      </w:rPr>
    </w:lvl>
    <w:lvl w:ilvl="4" w:tentative="0">
      <w:start w:val="1"/>
      <w:numFmt w:val="decimal"/>
      <w:lvlText w:val="(%5)"/>
      <w:lvlJc w:val="left"/>
      <w:pPr>
        <w:tabs>
          <w:tab w:val="left" w:pos="567"/>
        </w:tabs>
        <w:ind w:left="567" w:hanging="539"/>
      </w:pPr>
      <w:rPr>
        <w:rFonts w:hint="default" w:ascii="Arial" w:hAnsi="Arial" w:eastAsia="宋体"/>
        <w:b w:val="0"/>
        <w:i w:val="0"/>
        <w:spacing w:val="0"/>
        <w:w w:val="100"/>
        <w:kern w:val="0"/>
        <w:position w:val="0"/>
        <w:sz w:val="28"/>
      </w:rPr>
    </w:lvl>
    <w:lvl w:ilvl="5" w:tentative="0">
      <w:start w:val="1"/>
      <w:numFmt w:val="bullet"/>
      <w:lvlText w:val=""/>
      <w:lvlJc w:val="left"/>
      <w:pPr>
        <w:tabs>
          <w:tab w:val="left" w:pos="1077"/>
        </w:tabs>
        <w:ind w:left="1077" w:hanging="510"/>
      </w:pPr>
      <w:rPr>
        <w:rFonts w:hint="default" w:ascii="Symbol" w:hAnsi="Symbol" w:eastAsia="宋体"/>
        <w:b/>
        <w:i w:val="0"/>
        <w:spacing w:val="0"/>
        <w:w w:val="100"/>
        <w:kern w:val="0"/>
        <w:position w:val="0"/>
        <w:sz w:val="28"/>
      </w:rPr>
    </w:lvl>
    <w:lvl w:ilvl="6" w:tentative="0">
      <w:start w:val="1"/>
      <w:numFmt w:val="bullet"/>
      <w:lvlText w:val=""/>
      <w:lvlJc w:val="left"/>
      <w:pPr>
        <w:tabs>
          <w:tab w:val="left" w:pos="1437"/>
        </w:tabs>
        <w:ind w:left="1435" w:hanging="358"/>
      </w:pPr>
      <w:rPr>
        <w:rFonts w:hint="default" w:ascii="Wingdings" w:hAnsi="Wingdings"/>
        <w:b w:val="0"/>
        <w:i w:val="0"/>
        <w:spacing w:val="0"/>
        <w:w w:val="100"/>
        <w:kern w:val="0"/>
        <w:position w:val="0"/>
        <w:sz w:val="28"/>
      </w:rPr>
    </w:lvl>
    <w:lvl w:ilvl="7" w:tentative="0">
      <w:start w:val="1"/>
      <w:numFmt w:val="bullet"/>
      <w:lvlText w:val=""/>
      <w:lvlJc w:val="left"/>
      <w:pPr>
        <w:tabs>
          <w:tab w:val="left" w:pos="1437"/>
        </w:tabs>
        <w:ind w:left="1435" w:hanging="358"/>
      </w:pPr>
      <w:rPr>
        <w:rFonts w:hint="default" w:ascii="Wingdings" w:hAnsi="Wingdings"/>
        <w:b w:val="0"/>
        <w:i w:val="0"/>
        <w:spacing w:val="0"/>
        <w:w w:val="100"/>
        <w:kern w:val="0"/>
        <w:position w:val="0"/>
        <w:sz w:val="28"/>
      </w:rPr>
    </w:lvl>
    <w:lvl w:ilvl="8" w:tentative="0">
      <w:start w:val="1"/>
      <w:numFmt w:val="none"/>
      <w:lvlText w:val=""/>
      <w:lvlJc w:val="left"/>
      <w:pPr>
        <w:tabs>
          <w:tab w:val="left" w:pos="0"/>
        </w:tabs>
        <w:ind w:left="0" w:firstLine="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78"/>
    <w:rsid w:val="00546D78"/>
    <w:rsid w:val="00A45D8E"/>
    <w:rsid w:val="00B72A6A"/>
    <w:rsid w:val="06184D26"/>
    <w:rsid w:val="0698154A"/>
    <w:rsid w:val="0962377B"/>
    <w:rsid w:val="09F53EDA"/>
    <w:rsid w:val="0B867338"/>
    <w:rsid w:val="0FC45588"/>
    <w:rsid w:val="12A16675"/>
    <w:rsid w:val="13EF3AFC"/>
    <w:rsid w:val="13FE2D8B"/>
    <w:rsid w:val="16685DA4"/>
    <w:rsid w:val="1CC0733C"/>
    <w:rsid w:val="1E3713F4"/>
    <w:rsid w:val="1F1410F1"/>
    <w:rsid w:val="1FCA7A3D"/>
    <w:rsid w:val="2004003D"/>
    <w:rsid w:val="20A02B53"/>
    <w:rsid w:val="22C01426"/>
    <w:rsid w:val="236F6B4D"/>
    <w:rsid w:val="23AE4E61"/>
    <w:rsid w:val="23C80A45"/>
    <w:rsid w:val="25763125"/>
    <w:rsid w:val="260A380A"/>
    <w:rsid w:val="2BE97D6C"/>
    <w:rsid w:val="2C0F5B06"/>
    <w:rsid w:val="2CAB0FA6"/>
    <w:rsid w:val="2FF8639A"/>
    <w:rsid w:val="315619AF"/>
    <w:rsid w:val="32CF07A3"/>
    <w:rsid w:val="337F3A77"/>
    <w:rsid w:val="343F60C3"/>
    <w:rsid w:val="34996820"/>
    <w:rsid w:val="34E8693B"/>
    <w:rsid w:val="35B13C41"/>
    <w:rsid w:val="36A26755"/>
    <w:rsid w:val="37B62807"/>
    <w:rsid w:val="399A1FF8"/>
    <w:rsid w:val="3A9F0BB7"/>
    <w:rsid w:val="3BA44F24"/>
    <w:rsid w:val="3E943D46"/>
    <w:rsid w:val="40941987"/>
    <w:rsid w:val="41434C19"/>
    <w:rsid w:val="422200F7"/>
    <w:rsid w:val="4275632E"/>
    <w:rsid w:val="44925AFB"/>
    <w:rsid w:val="4699666D"/>
    <w:rsid w:val="46D23390"/>
    <w:rsid w:val="46D65220"/>
    <w:rsid w:val="47F907FD"/>
    <w:rsid w:val="499D61BA"/>
    <w:rsid w:val="4A6B7F71"/>
    <w:rsid w:val="4EA40179"/>
    <w:rsid w:val="4FA36776"/>
    <w:rsid w:val="515A7719"/>
    <w:rsid w:val="543546EF"/>
    <w:rsid w:val="5AA46849"/>
    <w:rsid w:val="5F0F3C16"/>
    <w:rsid w:val="5F222135"/>
    <w:rsid w:val="61B45DFD"/>
    <w:rsid w:val="658C2FAA"/>
    <w:rsid w:val="662E6EF9"/>
    <w:rsid w:val="67181CB4"/>
    <w:rsid w:val="67645C1A"/>
    <w:rsid w:val="690535BD"/>
    <w:rsid w:val="69123CF3"/>
    <w:rsid w:val="69B41DC1"/>
    <w:rsid w:val="6A1D5FAE"/>
    <w:rsid w:val="6CAC0641"/>
    <w:rsid w:val="6F275FE3"/>
    <w:rsid w:val="709527C6"/>
    <w:rsid w:val="71A76A57"/>
    <w:rsid w:val="75D951A4"/>
    <w:rsid w:val="78B523DA"/>
    <w:rsid w:val="7A97726C"/>
    <w:rsid w:val="7B9F6AB0"/>
    <w:rsid w:val="7E92112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numPr>
        <w:ilvl w:val="0"/>
        <w:numId w:val="1"/>
      </w:numPr>
      <w:tabs>
        <w:tab w:val="left" w:pos="440"/>
      </w:tabs>
      <w:adjustRightInd w:val="0"/>
      <w:spacing w:before="120" w:after="60" w:line="312" w:lineRule="auto"/>
      <w:outlineLvl w:val="0"/>
    </w:pPr>
    <w:rPr>
      <w:rFonts w:ascii="Arial" w:hAnsi="Arial"/>
      <w:b/>
      <w:kern w:val="0"/>
      <w:sz w:val="28"/>
    </w:rPr>
  </w:style>
  <w:style w:type="paragraph" w:styleId="4">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2"/>
      </w:numPr>
      <w:tabs>
        <w:tab w:val="left" w:pos="425"/>
      </w:tab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3">
    <w:name w:val="正文首行缩进1"/>
    <w:basedOn w:val="1"/>
    <w:qFormat/>
    <w:uiPriority w:val="0"/>
    <w:pPr>
      <w:tabs>
        <w:tab w:val="left" w:pos="560"/>
        <w:tab w:val="left" w:pos="3920"/>
        <w:tab w:val="left" w:pos="5600"/>
      </w:tabs>
      <w:spacing w:before="60" w:after="60" w:line="520" w:lineRule="exact"/>
      <w:ind w:firstLine="567"/>
      <w:textAlignment w:val="baseline"/>
    </w:pPr>
    <w:rPr>
      <w:rFonts w:ascii="Arial" w:hAnsi="Arial" w:eastAsia="仿宋_GB2312"/>
      <w:sz w:val="28"/>
    </w:rPr>
  </w:style>
  <w:style w:type="paragraph" w:styleId="6">
    <w:name w:val="toc 7"/>
    <w:basedOn w:val="1"/>
    <w:next w:val="1"/>
    <w:qFormat/>
    <w:uiPriority w:val="0"/>
    <w:pPr>
      <w:ind w:left="2520" w:leftChars="1200"/>
    </w:pPr>
  </w:style>
  <w:style w:type="paragraph" w:styleId="7">
    <w:name w:val="annotation text"/>
    <w:basedOn w:val="1"/>
    <w:qFormat/>
    <w:uiPriority w:val="0"/>
    <w:pPr>
      <w:adjustRightInd w:val="0"/>
      <w:spacing w:line="360" w:lineRule="atLeast"/>
      <w:jc w:val="left"/>
      <w:textAlignment w:val="baseline"/>
    </w:pPr>
    <w:rPr>
      <w:rFonts w:ascii="宋体"/>
      <w:kern w:val="0"/>
      <w:sz w:val="28"/>
      <w:szCs w:val="20"/>
    </w:r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toc 8"/>
    <w:basedOn w:val="1"/>
    <w:next w:val="1"/>
    <w:qFormat/>
    <w:uiPriority w:val="0"/>
    <w:pPr>
      <w:ind w:left="2940" w:leftChars="1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character" w:styleId="19">
    <w:name w:val="Hyperlink"/>
    <w:basedOn w:val="18"/>
    <w:qFormat/>
    <w:uiPriority w:val="0"/>
    <w:rPr>
      <w:color w:val="0000FF"/>
      <w:u w:val="single"/>
    </w:rPr>
  </w:style>
  <w:style w:type="paragraph" w:customStyle="1" w:styleId="21">
    <w:name w:val="Char Char Char Char"/>
    <w:basedOn w:val="1"/>
    <w:qFormat/>
    <w:uiPriority w:val="0"/>
  </w:style>
  <w:style w:type="paragraph" w:customStyle="1" w:styleId="22">
    <w:name w:val="正文文本 31"/>
    <w:basedOn w:val="1"/>
    <w:uiPriority w:val="0"/>
    <w:rPr>
      <w:rFonts w:ascii="仿宋_GB2312" w:hAnsi="宋体" w:eastAsia="仿宋_GB2312"/>
      <w:sz w:val="24"/>
    </w:rPr>
  </w:style>
  <w:style w:type="paragraph" w:customStyle="1" w:styleId="23">
    <w:name w:val="正文文本缩进1"/>
    <w:basedOn w:val="1"/>
    <w:qFormat/>
    <w:uiPriority w:val="0"/>
    <w:pPr>
      <w:spacing w:after="120"/>
      <w:ind w:left="420" w:leftChars="200"/>
    </w:pPr>
  </w:style>
  <w:style w:type="paragraph" w:customStyle="1" w:styleId="24">
    <w:name w:val="纯文本1"/>
    <w:basedOn w:val="1"/>
    <w:qFormat/>
    <w:uiPriority w:val="0"/>
    <w:rPr>
      <w:rFonts w:ascii="宋体" w:hAnsi="Courier New"/>
      <w:szCs w:val="21"/>
    </w:rPr>
  </w:style>
  <w:style w:type="paragraph" w:customStyle="1" w:styleId="25">
    <w:name w:val="日期1"/>
    <w:basedOn w:val="1"/>
    <w:next w:val="1"/>
    <w:qFormat/>
    <w:uiPriority w:val="0"/>
    <w:pPr>
      <w:ind w:left="100" w:leftChars="2500"/>
    </w:pPr>
  </w:style>
  <w:style w:type="paragraph" w:customStyle="1" w:styleId="26">
    <w:name w:val="正文文本缩进 21"/>
    <w:basedOn w:val="1"/>
    <w:qFormat/>
    <w:uiPriority w:val="0"/>
    <w:pPr>
      <w:spacing w:after="120" w:line="480" w:lineRule="auto"/>
      <w:ind w:left="420" w:leftChars="200"/>
    </w:pPr>
  </w:style>
  <w:style w:type="paragraph" w:customStyle="1" w:styleId="27">
    <w:name w:val="标题 31"/>
    <w:basedOn w:val="1"/>
    <w:next w:val="1"/>
    <w:qFormat/>
    <w:uiPriority w:val="0"/>
    <w:pPr>
      <w:keepNext/>
      <w:keepLines/>
      <w:spacing w:before="260" w:after="260" w:line="416" w:lineRule="auto"/>
      <w:outlineLvl w:val="2"/>
    </w:pPr>
    <w:rPr>
      <w:b/>
      <w:bCs/>
      <w:sz w:val="32"/>
      <w:szCs w:val="32"/>
    </w:rPr>
  </w:style>
  <w:style w:type="paragraph" w:customStyle="1" w:styleId="28">
    <w:name w:val="xl27"/>
    <w:basedOn w:val="1"/>
    <w:qFormat/>
    <w:uiPriority w:val="0"/>
    <w:pPr>
      <w:widowControl/>
      <w:spacing w:before="100" w:beforeAutospacing="1" w:after="100" w:afterAutospacing="1"/>
      <w:jc w:val="center"/>
    </w:pPr>
    <w:rPr>
      <w:rFonts w:ascii="宋体" w:hAnsi="宋体"/>
      <w:kern w:val="0"/>
      <w:sz w:val="24"/>
    </w:rPr>
  </w:style>
  <w:style w:type="paragraph" w:customStyle="1" w:styleId="29">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30">
    <w:name w:val="正文缩进1"/>
    <w:basedOn w:val="1"/>
    <w:qFormat/>
    <w:uiPriority w:val="0"/>
    <w:pPr>
      <w:ind w:firstLine="420"/>
    </w:pPr>
    <w:rPr>
      <w:szCs w:val="20"/>
    </w:rPr>
  </w:style>
  <w:style w:type="paragraph" w:customStyle="1" w:styleId="31">
    <w:name w:val="样式 行距: 1.5 倍行距"/>
    <w:basedOn w:val="1"/>
    <w:qFormat/>
    <w:uiPriority w:val="0"/>
    <w:pPr>
      <w:spacing w:line="360" w:lineRule="auto"/>
      <w:ind w:right="-512" w:rightChars="-183" w:firstLine="549" w:firstLineChars="196"/>
    </w:pPr>
    <w:rPr>
      <w:rFonts w:cs="宋体"/>
      <w:szCs w:val="28"/>
    </w:rPr>
  </w:style>
  <w:style w:type="character" w:customStyle="1" w:styleId="32">
    <w:name w:val="页码1"/>
    <w:basedOn w:val="18"/>
    <w:qFormat/>
    <w:uiPriority w:val="0"/>
  </w:style>
  <w:style w:type="character" w:customStyle="1" w:styleId="33">
    <w:name w:val="页码11"/>
    <w:basedOn w:val="18"/>
    <w:qFormat/>
    <w:uiPriority w:val="0"/>
    <w:rPr>
      <w:rFonts w:ascii="Arial" w:hAnsi="Arial" w:eastAsia="宋体"/>
      <w:spacing w:val="0"/>
      <w:w w:val="100"/>
      <w:kern w:val="0"/>
      <w:position w:val="0"/>
      <w:sz w:val="18"/>
    </w:rPr>
  </w:style>
  <w:style w:type="character" w:customStyle="1" w:styleId="34">
    <w:name w:val="font01"/>
    <w:basedOn w:val="18"/>
    <w:uiPriority w:val="0"/>
    <w:rPr>
      <w:rFonts w:hint="eastAsia" w:ascii="宋体" w:hAnsi="宋体" w:eastAsia="宋体" w:cs="宋体"/>
      <w:color w:val="000000"/>
      <w:sz w:val="18"/>
      <w:szCs w:val="18"/>
      <w:u w:val="none"/>
    </w:rPr>
  </w:style>
  <w:style w:type="character" w:customStyle="1" w:styleId="35">
    <w:name w:val="样式 三号 加粗"/>
    <w:basedOn w:val="18"/>
    <w:qFormat/>
    <w:uiPriority w:val="0"/>
    <w:rPr>
      <w:b/>
      <w:bCs/>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811</Words>
  <Characters>4627</Characters>
  <Lines>38</Lines>
  <Paragraphs>10</Paragraphs>
  <ScaleCrop>false</ScaleCrop>
  <LinksUpToDate>false</LinksUpToDate>
  <CharactersWithSpaces>5428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2011-03-05T05:51:00Z</dcterms:created>
  <dc:creator>user</dc:creator>
  <cp:lastModifiedBy>Administrator</cp:lastModifiedBy>
  <cp:lastPrinted>2016-06-23T03:50:00Z</cp:lastPrinted>
  <dcterms:modified xsi:type="dcterms:W3CDTF">2016-07-07T09:24:27Z</dcterms:modified>
  <dc:title>USER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