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炼钢部红粉倒运</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4</w:t>
      </w:r>
      <w:r>
        <w:rPr>
          <w:rFonts w:ascii="宋体" w:hAnsi="宋体"/>
          <w:color w:val="000000"/>
        </w:rPr>
        <w:t>月</w:t>
      </w:r>
      <w:r>
        <w:rPr>
          <w:rFonts w:hint="eastAsia" w:ascii="宋体" w:hAnsi="宋体"/>
          <w:color w:val="000000"/>
          <w:lang w:val="en-US" w:eastAsia="zh-CN"/>
        </w:rPr>
        <w:t>8</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YSQC202104005LGBHFDY</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炼钢部红粉倒运</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炼钢部除尘红粉、细灰倒运至炼钢压球、炼铁烧结。红粉温度约100--120℃，偶尔会到达200℃。需1部罐车，24小时作业。</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4</w:t>
      </w:r>
      <w:r>
        <w:rPr>
          <w:rFonts w:ascii="宋体" w:hAnsi="宋体"/>
          <w:b w:val="0"/>
          <w:bCs/>
          <w:color w:val="auto"/>
        </w:rPr>
        <w:t>月</w:t>
      </w:r>
      <w:r>
        <w:rPr>
          <w:rFonts w:hint="eastAsia" w:ascii="宋体" w:hAnsi="宋体"/>
          <w:b w:val="0"/>
          <w:bCs/>
          <w:color w:val="auto"/>
          <w:u w:val="single"/>
          <w:lang w:val="en-US" w:eastAsia="zh-CN"/>
        </w:rPr>
        <w:t>15</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4</w:t>
      </w:r>
      <w:r>
        <w:rPr>
          <w:rFonts w:ascii="宋体" w:hAnsi="宋体"/>
          <w:b w:val="0"/>
          <w:bCs/>
          <w:color w:val="auto"/>
        </w:rPr>
        <w:t>月</w:t>
      </w:r>
      <w:r>
        <w:rPr>
          <w:rFonts w:hint="eastAsia" w:ascii="宋体" w:hAnsi="宋体"/>
          <w:b w:val="0"/>
          <w:bCs/>
          <w:color w:val="auto"/>
          <w:u w:val="single"/>
          <w:lang w:val="en-US" w:eastAsia="zh-CN"/>
        </w:rPr>
        <w:t>19</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肆仟</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 xml:space="preserve">年 </w:t>
      </w:r>
      <w:r>
        <w:rPr>
          <w:rFonts w:hint="eastAsia" w:ascii="宋体" w:hAnsi="宋体"/>
          <w:bCs/>
          <w:color w:val="7030A0"/>
          <w:u w:val="single"/>
          <w:lang w:val="en-US" w:eastAsia="zh-CN"/>
        </w:rPr>
        <w:t>4</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15</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r>
        <w:rPr>
          <w:rFonts w:hint="eastAsia" w:ascii="宋体" w:hAnsi="宋体"/>
          <w:lang w:eastAsia="zh-CN"/>
        </w:rPr>
        <w:t>，</w:t>
      </w:r>
      <w:r>
        <w:rPr>
          <w:rFonts w:hint="eastAsia" w:ascii="宋体" w:hAnsi="宋体"/>
          <w:lang w:val="en-US" w:eastAsia="zh-CN"/>
        </w:rPr>
        <w:t>标书需要胶装</w:t>
      </w:r>
      <w:bookmarkStart w:id="0" w:name="_GoBack"/>
      <w:bookmarkEnd w:id="0"/>
      <w:r>
        <w:rPr>
          <w:rFonts w:ascii="宋体" w:hAnsi="宋体"/>
        </w:rPr>
        <w:t>。</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2、承揽单位必须具备24小时承揽服务能力，配备足够作业人员，合理安排班次，作业人员不得疲劳作业，班次调整时不得连续24小时作业；作业人员须持有国家相关部门核发的有效证件。</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需车辆须符合法律法规要求、符合公司车辆管理要求，定期做好车辆检维修工作，报废车辆一律不得进厂。罐车需证照、保险齐全。因承揽单位作业效率不高，致使不能满足生产，或作业车辆故障维修时，承运单位应在规定时间内增加车辆，保障生产经营。</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4、承揽单位在合同履行中，必须遵守我公司的安全、生产、环保、质量、现场、车辆交通等规章制度。如违反相关规章制度，我公司将依据规章制度要求给予考核。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6、承揽单位须在履约前准备好车辆、作业人员，所有作业人员需接受用车部门安全培训、业务培训后方可上岗。</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7、合同执行期间因国家政策变化、炼钢部生产运营发生变化，双方经协商一致，可变更、终止合同。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8、合同期限：2021年4月28日至2021年10月28日。</w:t>
      </w: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ascii="宋体" w:hAnsi="宋体" w:eastAsia="宋体" w:cs="宋体"/>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8"/>
          <w:szCs w:val="28"/>
        </w:rPr>
      </w:pPr>
    </w:p>
    <w:p>
      <w:pPr>
        <w:tabs>
          <w:tab w:val="left" w:pos="420"/>
          <w:tab w:val="left" w:pos="630"/>
        </w:tabs>
        <w:spacing w:line="300" w:lineRule="auto"/>
        <w:jc w:val="center"/>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报价表</w:t>
      </w:r>
    </w:p>
    <w:p>
      <w:pPr>
        <w:tabs>
          <w:tab w:val="left" w:pos="420"/>
          <w:tab w:val="left" w:pos="630"/>
        </w:tabs>
        <w:spacing w:line="300" w:lineRule="auto"/>
        <w:jc w:val="center"/>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不含税报价（适用税率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eastAsia="zh-CN"/>
        </w:rPr>
        <w:t>）</w:t>
      </w:r>
    </w:p>
    <w:tbl>
      <w:tblPr>
        <w:tblStyle w:val="9"/>
        <w:tblW w:w="10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785"/>
        <w:gridCol w:w="1470"/>
        <w:gridCol w:w="3463"/>
        <w:gridCol w:w="101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6" w:hRule="atLeast"/>
          <w:jc w:val="center"/>
        </w:trPr>
        <w:tc>
          <w:tcPr>
            <w:tcW w:w="6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号</w:t>
            </w:r>
          </w:p>
        </w:tc>
        <w:tc>
          <w:tcPr>
            <w:tcW w:w="2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w:t>
            </w: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车型</w:t>
            </w:r>
          </w:p>
        </w:tc>
        <w:tc>
          <w:tcPr>
            <w:tcW w:w="34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结算方式</w:t>
            </w:r>
          </w:p>
        </w:tc>
        <w:tc>
          <w:tcPr>
            <w:tcW w:w="1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元/吨</w:t>
            </w:r>
          </w:p>
        </w:tc>
        <w:tc>
          <w:tcPr>
            <w:tcW w:w="14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606" w:type="dxa"/>
            <w:vAlign w:val="center"/>
          </w:tcPr>
          <w:p>
            <w:pPr>
              <w:widowControl w:val="0"/>
              <w:jc w:val="center"/>
              <w:rPr>
                <w:rFonts w:hint="default" w:ascii="宋体" w:hAnsi="宋体" w:cs="宋体"/>
                <w:sz w:val="28"/>
                <w:szCs w:val="28"/>
                <w:lang w:val="en-US" w:eastAsia="zh-CN"/>
              </w:rPr>
            </w:pPr>
            <w:r>
              <w:rPr>
                <w:rFonts w:hint="eastAsia" w:ascii="宋体" w:hAnsi="宋体" w:cs="宋体"/>
                <w:sz w:val="28"/>
                <w:szCs w:val="28"/>
                <w:lang w:val="en-US" w:eastAsia="zh-CN"/>
              </w:rPr>
              <w:t>1</w:t>
            </w:r>
          </w:p>
        </w:tc>
        <w:tc>
          <w:tcPr>
            <w:tcW w:w="2785" w:type="dxa"/>
            <w:vAlign w:val="center"/>
          </w:tcPr>
          <w:p>
            <w:pPr>
              <w:widowControl w:val="0"/>
              <w:ind w:firstLine="560" w:firstLineChars="200"/>
              <w:jc w:val="both"/>
              <w:rPr>
                <w:rFonts w:hint="eastAsia" w:ascii="宋体" w:hAnsi="宋体" w:eastAsia="宋体" w:cs="宋体"/>
                <w:sz w:val="28"/>
                <w:szCs w:val="28"/>
                <w:lang w:eastAsia="zh-CN"/>
              </w:rPr>
            </w:pPr>
            <w:r>
              <w:rPr>
                <w:rFonts w:hint="eastAsia" w:ascii="宋体" w:hAnsi="宋体" w:cs="宋体"/>
                <w:sz w:val="28"/>
                <w:szCs w:val="28"/>
                <w:lang w:val="en-US" w:eastAsia="zh-CN"/>
              </w:rPr>
              <w:t>炼钢部除尘红粉、细灰倒运至炼钢压球、炼铁烧结。</w:t>
            </w:r>
          </w:p>
        </w:tc>
        <w:tc>
          <w:tcPr>
            <w:tcW w:w="1470" w:type="dxa"/>
            <w:vAlign w:val="center"/>
          </w:tcPr>
          <w:p>
            <w:pPr>
              <w:widowControl w:val="0"/>
              <w:jc w:val="center"/>
              <w:rPr>
                <w:rFonts w:hint="eastAsia" w:ascii="宋体" w:hAnsi="宋体" w:eastAsia="宋体" w:cs="宋体"/>
                <w:sz w:val="28"/>
                <w:szCs w:val="28"/>
              </w:rPr>
            </w:pPr>
            <w:r>
              <w:rPr>
                <w:rFonts w:hint="eastAsia" w:ascii="宋体" w:hAnsi="宋体" w:cs="宋体"/>
                <w:sz w:val="28"/>
                <w:szCs w:val="28"/>
                <w:lang w:val="en-US" w:eastAsia="zh-CN"/>
              </w:rPr>
              <w:t>1部</w:t>
            </w:r>
            <w:r>
              <w:rPr>
                <w:rFonts w:hint="eastAsia" w:ascii="宋体" w:hAnsi="宋体" w:eastAsia="宋体" w:cs="宋体"/>
                <w:sz w:val="28"/>
                <w:szCs w:val="28"/>
              </w:rPr>
              <w:t>罐车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（耐高温）</w:t>
            </w:r>
          </w:p>
        </w:tc>
        <w:tc>
          <w:tcPr>
            <w:tcW w:w="3463" w:type="dxa"/>
            <w:vAlign w:val="center"/>
          </w:tcPr>
          <w:p>
            <w:pPr>
              <w:widowControl w:val="0"/>
              <w:jc w:val="center"/>
              <w:rPr>
                <w:rFonts w:hint="eastAsia" w:ascii="宋体" w:hAnsi="宋体" w:eastAsia="宋体" w:cs="宋体"/>
                <w:sz w:val="28"/>
                <w:szCs w:val="28"/>
              </w:rPr>
            </w:pPr>
            <w:r>
              <w:rPr>
                <w:rFonts w:hint="eastAsia" w:ascii="宋体" w:hAnsi="宋体" w:eastAsia="宋体" w:cs="宋体"/>
                <w:sz w:val="28"/>
                <w:szCs w:val="28"/>
              </w:rPr>
              <w:t xml:space="preserve">结算费用=实际过磅运量*单价       </w:t>
            </w:r>
            <w:r>
              <w:rPr>
                <w:rFonts w:hint="eastAsia" w:ascii="宋体" w:hAnsi="宋体" w:cs="宋体"/>
                <w:sz w:val="28"/>
                <w:szCs w:val="28"/>
                <w:lang w:val="en-US" w:eastAsia="zh-CN"/>
              </w:rPr>
              <w:t xml:space="preserve">              </w:t>
            </w:r>
            <w:r>
              <w:rPr>
                <w:rFonts w:hint="eastAsia" w:ascii="宋体" w:hAnsi="宋体" w:cs="宋体"/>
                <w:sz w:val="28"/>
                <w:szCs w:val="28"/>
                <w:lang w:eastAsia="zh-CN"/>
              </w:rPr>
              <w:t>倒运量预计</w:t>
            </w:r>
            <w:r>
              <w:rPr>
                <w:rFonts w:hint="eastAsia" w:ascii="宋体" w:hAnsi="宋体" w:eastAsia="宋体" w:cs="宋体"/>
                <w:sz w:val="28"/>
                <w:szCs w:val="28"/>
              </w:rPr>
              <w:t>约</w:t>
            </w:r>
            <w:r>
              <w:rPr>
                <w:rFonts w:hint="eastAsia" w:ascii="宋体" w:hAnsi="宋体" w:cs="宋体"/>
                <w:sz w:val="28"/>
                <w:szCs w:val="28"/>
                <w:lang w:val="en-US" w:eastAsia="zh-CN"/>
              </w:rPr>
              <w:t>3400</w:t>
            </w:r>
            <w:r>
              <w:rPr>
                <w:rFonts w:hint="eastAsia" w:ascii="宋体" w:hAnsi="宋体" w:eastAsia="宋体" w:cs="宋体"/>
                <w:sz w:val="28"/>
                <w:szCs w:val="28"/>
              </w:rPr>
              <w:t>吨/月</w:t>
            </w:r>
          </w:p>
        </w:tc>
        <w:tc>
          <w:tcPr>
            <w:tcW w:w="1015" w:type="dxa"/>
            <w:vAlign w:val="center"/>
          </w:tcPr>
          <w:p>
            <w:pPr>
              <w:widowControl w:val="0"/>
              <w:jc w:val="center"/>
              <w:rPr>
                <w:rFonts w:hint="eastAsia" w:ascii="宋体" w:hAnsi="宋体" w:eastAsia="宋体" w:cs="宋体"/>
                <w:sz w:val="28"/>
                <w:szCs w:val="28"/>
                <w:vertAlign w:val="baseline"/>
                <w:lang w:val="en-US" w:eastAsia="zh-CN"/>
              </w:rPr>
            </w:pPr>
          </w:p>
        </w:tc>
        <w:tc>
          <w:tcPr>
            <w:tcW w:w="1497" w:type="dxa"/>
            <w:vAlign w:val="center"/>
          </w:tcPr>
          <w:p>
            <w:pPr>
              <w:widowControl w:val="0"/>
              <w:jc w:val="center"/>
              <w:rPr>
                <w:rFonts w:hint="eastAsia" w:ascii="宋体" w:hAnsi="宋体" w:eastAsia="宋体" w:cs="宋体"/>
                <w:sz w:val="28"/>
                <w:szCs w:val="28"/>
              </w:rPr>
            </w:pPr>
            <w:r>
              <w:rPr>
                <w:rFonts w:hint="eastAsia" w:ascii="宋体" w:hAnsi="宋体" w:eastAsia="宋体" w:cs="宋体"/>
                <w:sz w:val="28"/>
                <w:szCs w:val="28"/>
              </w:rPr>
              <w:t>次月付款    （</w:t>
            </w:r>
            <w:r>
              <w:rPr>
                <w:rFonts w:hint="eastAsia" w:ascii="宋体" w:hAnsi="宋体" w:cs="宋体"/>
                <w:sz w:val="28"/>
                <w:szCs w:val="28"/>
                <w:lang w:eastAsia="zh-CN"/>
              </w:rPr>
              <w:t>转账或现汇</w:t>
            </w:r>
            <w:r>
              <w:rPr>
                <w:rFonts w:hint="eastAsia" w:ascii="宋体" w:hAnsi="宋体" w:eastAsia="宋体" w:cs="宋体"/>
                <w:sz w:val="28"/>
                <w:szCs w:val="28"/>
              </w:rPr>
              <w:t>）</w:t>
            </w:r>
          </w:p>
        </w:tc>
      </w:tr>
    </w:tbl>
    <w:p>
      <w:pPr>
        <w:rPr>
          <w:rFonts w:hint="eastAsia"/>
          <w:sz w:val="28"/>
          <w:szCs w:val="28"/>
          <w:lang w:eastAsia="zh-CN"/>
        </w:rPr>
      </w:pPr>
    </w:p>
    <w:p>
      <w:pPr>
        <w:rPr>
          <w:rFonts w:hint="eastAsia"/>
          <w:lang w:eastAsia="zh-CN"/>
        </w:rPr>
      </w:pPr>
    </w:p>
    <w:p>
      <w:pPr>
        <w:rPr>
          <w:rFonts w:hint="eastAsia"/>
          <w:lang w:eastAsia="zh-CN"/>
        </w:rPr>
      </w:pPr>
    </w:p>
    <w:p>
      <w:pPr>
        <w:spacing w:line="360" w:lineRule="auto"/>
        <w:rPr>
          <w:rFonts w:hint="eastAsia"/>
          <w:lang w:eastAsia="zh-CN"/>
        </w:rPr>
      </w:pPr>
      <w:r>
        <w:rPr>
          <w:rFonts w:hint="eastAsia"/>
          <w:lang w:eastAsia="zh-CN"/>
        </w:rPr>
        <w:t>日期：</w:t>
      </w:r>
    </w:p>
    <w:p>
      <w:pPr>
        <w:spacing w:line="360" w:lineRule="auto"/>
        <w:rPr>
          <w:rFonts w:hint="eastAsia"/>
          <w:lang w:eastAsia="zh-CN"/>
        </w:rPr>
      </w:pPr>
      <w:r>
        <w:rPr>
          <w:rFonts w:hint="eastAsia"/>
          <w:lang w:eastAsia="zh-CN"/>
        </w:rPr>
        <w:t>单位：</w:t>
      </w:r>
    </w:p>
    <w:p>
      <w:pPr>
        <w:bidi w:val="0"/>
        <w:rPr>
          <w:rFonts w:hint="eastAsia" w:ascii="Times New Roman" w:hAnsi="Times New Roman" w:eastAsia="宋体" w:cs="Times New Roman"/>
          <w:kern w:val="2"/>
          <w:sz w:val="21"/>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rPr>
          <w:rFonts w:hint="eastAsia" w:ascii="宋体" w:hAnsi="宋体" w:eastAsia="宋体" w:cs="宋体"/>
          <w:b w:val="0"/>
          <w:bCs w:val="0"/>
          <w:sz w:val="24"/>
          <w:szCs w:val="24"/>
          <w:lang w:val="en-US" w:eastAsia="zh-CN"/>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4</w:t>
      </w:r>
      <w:r>
        <w:rPr>
          <w:rFonts w:ascii="宋体" w:hAnsi="宋体"/>
          <w:color w:val="auto"/>
          <w:sz w:val="24"/>
          <w:szCs w:val="24"/>
        </w:rPr>
        <w:t>月</w:t>
      </w:r>
      <w:r>
        <w:rPr>
          <w:rFonts w:hint="eastAsia" w:ascii="宋体" w:hAnsi="宋体"/>
          <w:color w:val="auto"/>
          <w:sz w:val="24"/>
          <w:szCs w:val="24"/>
          <w:lang w:val="en-US" w:eastAsia="zh-CN"/>
        </w:rPr>
        <w:t>8</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F9258E4"/>
    <w:rsid w:val="10772EB5"/>
    <w:rsid w:val="11DE5603"/>
    <w:rsid w:val="13BA318B"/>
    <w:rsid w:val="16AA6B17"/>
    <w:rsid w:val="1C1D6140"/>
    <w:rsid w:val="1C28711D"/>
    <w:rsid w:val="1F415A0F"/>
    <w:rsid w:val="1FC61767"/>
    <w:rsid w:val="234F5E22"/>
    <w:rsid w:val="23F27268"/>
    <w:rsid w:val="252D19D6"/>
    <w:rsid w:val="25A87FB8"/>
    <w:rsid w:val="25F13BFC"/>
    <w:rsid w:val="2D230D73"/>
    <w:rsid w:val="2E34761D"/>
    <w:rsid w:val="30033579"/>
    <w:rsid w:val="323F2693"/>
    <w:rsid w:val="34FF5DC8"/>
    <w:rsid w:val="390D4485"/>
    <w:rsid w:val="3A4B4F63"/>
    <w:rsid w:val="3C09736A"/>
    <w:rsid w:val="3F114200"/>
    <w:rsid w:val="41417945"/>
    <w:rsid w:val="41DB42F4"/>
    <w:rsid w:val="454E4D64"/>
    <w:rsid w:val="4C62699D"/>
    <w:rsid w:val="513C3EF8"/>
    <w:rsid w:val="53D27EE3"/>
    <w:rsid w:val="556B3A6A"/>
    <w:rsid w:val="589B3C10"/>
    <w:rsid w:val="5B2D6E0C"/>
    <w:rsid w:val="5DA113C7"/>
    <w:rsid w:val="5DA500D7"/>
    <w:rsid w:val="603E0EA5"/>
    <w:rsid w:val="607D1710"/>
    <w:rsid w:val="62CA5CF7"/>
    <w:rsid w:val="68A120DE"/>
    <w:rsid w:val="6D663618"/>
    <w:rsid w:val="712325AD"/>
    <w:rsid w:val="71CE0F14"/>
    <w:rsid w:val="74965A4A"/>
    <w:rsid w:val="76892D68"/>
    <w:rsid w:val="772E1C21"/>
    <w:rsid w:val="7A2558BE"/>
    <w:rsid w:val="7C736239"/>
    <w:rsid w:val="7DD8616D"/>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2021-04-08T05:07:29Z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