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铁前部炼铁隐患整改工程项目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工程施工总承包叁级及以上资质</w:t>
      </w:r>
      <w:r>
        <w:rPr>
          <w:rFonts w:hint="eastAsia" w:ascii="宋体" w:hAnsi="宋体"/>
          <w:bCs/>
          <w:color w:val="FF0000"/>
          <w:sz w:val="24"/>
          <w:szCs w:val="24"/>
          <w:highlight w:val="none"/>
          <w:u w:val="none"/>
          <w:lang w:val="en-US" w:eastAsia="zh-CN"/>
        </w:rPr>
        <w:t>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铁前部炼铁隐患整改工程项目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铁前部炼铁隐患整改工程项目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含：喷煤泄爆管道、泄爆装置、煤粉仓蒸汽伴热、钢梯移位、3#高炉热风炉烟道人孔、铸铁机煤气管道加阀门、钢平台、水封、管道底部增加隔热板、烤包器更换闭式插板阀等施工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2022-06-12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2022-09-10                                                    </w:t>
      </w:r>
    </w:p>
    <w:p>
      <w:pPr>
        <w:spacing w:line="360" w:lineRule="auto"/>
        <w:rPr>
          <w:rFonts w:ascii="宋体" w:hAnsi="宋体"/>
          <w:color w:val="auto"/>
        </w:rPr>
      </w:pPr>
      <w:r>
        <w:rPr>
          <w:rFonts w:hint="eastAsia" w:ascii="宋体" w:hAnsi="宋体"/>
          <w:color w:val="auto"/>
          <w:lang w:val="en-US" w:eastAsia="zh-CN"/>
        </w:rPr>
        <w:t>合同工期总日历天数 90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阀门、泄爆膜片由发包人提供，其它所有材料由承包人提供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val="en-US" w:eastAsia="zh-CN"/>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以上工程无预付款；</w:t>
      </w:r>
      <w:r>
        <w:rPr>
          <w:rFonts w:hint="eastAsia" w:ascii="宋体" w:hAnsi="宋体" w:cs="宋体"/>
          <w:color w:val="auto"/>
          <w:lang w:val="en-US" w:eastAsia="zh-CN"/>
        </w:rPr>
        <w:t>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542"/>
        <w:gridCol w:w="814"/>
        <w:gridCol w:w="930"/>
        <w:gridCol w:w="10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6314"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铁前部炼铁隐患整改工程项目报价单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DN125及以下管道安装</w:t>
            </w:r>
          </w:p>
        </w:tc>
        <w:tc>
          <w:tcPr>
            <w:tcW w:w="15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22030110.S01、22030110.S02、22030110.S02、22030110.01J01、22030110.02J01</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DN100及以下管道安装和保温</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0.5</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23000元/t。包括管道、管件及保温材料的卸车、运输、倒运、管道、管件安装、试压、吹扫、除锈、刷漆、标识，40mm厚岩棉安装、油毡一遍、玻璃丝布两遍、0.35mm厚外包彩瓦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DN100及以下管道安装和保温（报检）</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26000元/t。包括管道、管件及保温材料的卸车、运输、倒运、管道、管件安装、试压、吹扫、除锈、刷漆、标识，80mm厚岩棉安装、油毡一遍、玻璃丝布两遍、0.35mm厚外包彩瓦等涉及的全部工序及人工费、机械费、材料费、措施费、不可竞争费、税金、水电费等全部费用。按照管道延长米计算重量。</w:t>
            </w:r>
            <w:r>
              <w:rPr>
                <w:rFonts w:hint="eastAsia" w:ascii="宋体" w:hAnsi="宋体" w:eastAsia="宋体" w:cs="宋体"/>
                <w:i w:val="0"/>
                <w:iCs w:val="0"/>
                <w:color w:val="FF0000"/>
                <w:kern w:val="0"/>
                <w:sz w:val="15"/>
                <w:szCs w:val="15"/>
                <w:u w:val="none"/>
                <w:bdr w:val="none" w:color="auto" w:sz="0" w:space="0"/>
                <w:lang w:val="en-US" w:eastAsia="zh-CN" w:bidi="ar"/>
              </w:rPr>
              <w:t>含管道探伤、报验费用。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DN100及以下阀门安装</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51</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DN125密闭式插板阀</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拦标价：1500元/套。包括阀门和配套法兰的卸车、运输、倒运、安装、试压、吹扫、标识等涉及的全部工序及人工费、机械费、材料费（不含阀门及法兰材料费用）、措施费、不可竞争费、税</w:t>
            </w:r>
            <w:bookmarkStart w:id="3" w:name="_GoBack"/>
            <w:bookmarkEnd w:id="3"/>
            <w:r>
              <w:rPr>
                <w:rFonts w:hint="eastAsia" w:ascii="宋体" w:hAnsi="宋体" w:eastAsia="宋体" w:cs="宋体"/>
                <w:i w:val="0"/>
                <w:iCs w:val="0"/>
                <w:color w:val="000000"/>
                <w:kern w:val="0"/>
                <w:sz w:val="15"/>
                <w:szCs w:val="15"/>
                <w:u w:val="none"/>
                <w:bdr w:val="none" w:color="auto" w:sz="0" w:space="0"/>
                <w:lang w:val="en-US" w:eastAsia="zh-CN" w:bidi="ar"/>
              </w:rPr>
              <w:t>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DN200-DN500（含）管道安装</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18000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DN200-DN500（含）阀门安装</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钢结构制安</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18000元/t。含管道支架、管托、吊架、管卡、风绳、风帽、桁架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钢结构拆除安装（利旧）</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10000元/t。包括利旧钢构的拆除、倒运、安装、除锈、刷漆等涉及的全部工序及人工费、机械费、材料费（不含钢构材料费）、措施费、不可竞争费、税金、水电费等全部费用。以安装的利旧钢构量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岩棉板</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拦标价：250元/m2。包括卸车、运输、倒运、安装等涉及的全部工序及人工费、机械费、材料费、措施费、不可竞争费、税金、水电费等全部费用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DN800可曲挠橡胶接头安装</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拦标价：4000元/个。包括卸车、运输、倒运、管道拆除、橡胶接头及法兰安装等涉及的全部工序及人工费、机械费、材料费（不含橡胶接头及法兰）、措施费、不可竞争费、税金、水电费等全部费用。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DN400可曲挠橡胶接头安装</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拦标价：1500元/个。包括卸车、运输、倒运、管道拆除、橡胶接头及法兰安装等涉及的全部工序及人工费、机械费、材料费（不含橡胶接头及法兰）、措施费、不可竞争费、税金、水电费等全部费用。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泄爆膜安装</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处</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3000元/处。包括卸车、运输、倒运、管道开孔、短管制安、法兰安装、泄爆膜片安装、标识等涉及的全部工序及人工费、机械费、材料费（不含泄爆膜片）、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22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DN800人孔制安</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9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拦标价：5000元/个。包括卸车、运输、倒运、管道开孔、短管制安、法兰及人孔盖制安等涉及的全部工序及人工费、机械费、材料费、措施费、不可竞争费、税金、水电费等全部费用。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煤粉仓保温层拆除及恢复</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280</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拦标价：320元/m2。包括保温材料（100mm厚岩棉，0.75mm厚彩瓦）的拆除、卸车、运输、倒运、安装、标识等涉及的全部工序及人工费、机械费、材料费、措施费、不可竞争费、税金、水电费等全部费用。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bdr w:val="none" w:color="auto" w:sz="0" w:space="0"/>
                <w:lang w:val="en-US" w:eastAsia="zh-CN" w:bidi="ar"/>
              </w:rPr>
              <w:t>（原保温层不利旧）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22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煤气排水器安装</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拦标价：3000元/套。包括卸车、运输、倒运、检验、安装、调试、标识等涉及的全部工序及人工费、机械费、材料费、措施费、不可竞争费、税金、水电费等全部费用。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6"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优惠率（不包含材料费）</w:t>
            </w: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暂估金额20000元</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AD56B30"/>
    <w:rsid w:val="1B0616D0"/>
    <w:rsid w:val="1C1A5664"/>
    <w:rsid w:val="1C7E1688"/>
    <w:rsid w:val="1C8160E7"/>
    <w:rsid w:val="1CAB7BE0"/>
    <w:rsid w:val="1DC136C9"/>
    <w:rsid w:val="1E037CB3"/>
    <w:rsid w:val="1F316244"/>
    <w:rsid w:val="214D2E1E"/>
    <w:rsid w:val="21D2437C"/>
    <w:rsid w:val="21F73AF2"/>
    <w:rsid w:val="23883F50"/>
    <w:rsid w:val="24AC15A9"/>
    <w:rsid w:val="24C93CD8"/>
    <w:rsid w:val="24E835CF"/>
    <w:rsid w:val="277A5916"/>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7A20329"/>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7040</Words>
  <Characters>7379</Characters>
  <Lines>80</Lines>
  <Paragraphs>22</Paragraphs>
  <TotalTime>2</TotalTime>
  <ScaleCrop>false</ScaleCrop>
  <LinksUpToDate>false</LinksUpToDate>
  <CharactersWithSpaces>7791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2022-05-30T07:00:42Z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