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bookmarkStart w:id="0" w:name="_GoBack"/>
      <w:r>
        <w:rPr>
          <w:rFonts w:hint="eastAsia" w:ascii="宋体" w:hAnsi="宋体"/>
          <w:b/>
          <w:sz w:val="36"/>
          <w:szCs w:val="36"/>
          <w:lang w:val="en-US" w:eastAsia="zh-CN"/>
        </w:rPr>
        <w:t>修建部砼运输项目</w:t>
      </w:r>
    </w:p>
    <w:bookmarkEnd w:id="0"/>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1</w:t>
      </w:r>
      <w:r>
        <w:rPr>
          <w:rFonts w:ascii="宋体" w:hAnsi="宋体"/>
          <w:color w:val="000000"/>
        </w:rPr>
        <w:t>月</w:t>
      </w:r>
      <w:r>
        <w:rPr>
          <w:rFonts w:hint="eastAsia" w:ascii="宋体" w:hAnsi="宋体"/>
          <w:color w:val="000000"/>
          <w:lang w:val="en-US" w:eastAsia="zh-CN"/>
        </w:rPr>
        <w:t>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YSQC202101011XJBTYSXM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修建部砼运输项目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将搅拌站生产的砼使用4.5m³以上搅拌车（2-3台）和1台46米（或以上）泵车及时运输并泵送至指定地点。</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1</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1</w:t>
      </w:r>
      <w:r>
        <w:rPr>
          <w:rFonts w:ascii="宋体" w:hAnsi="宋体"/>
          <w:b w:val="0"/>
          <w:bCs/>
          <w:color w:val="auto"/>
        </w:rPr>
        <w:t>月</w:t>
      </w:r>
      <w:r>
        <w:rPr>
          <w:rFonts w:hint="eastAsia" w:ascii="宋体" w:hAnsi="宋体"/>
          <w:b w:val="0"/>
          <w:bCs/>
          <w:color w:val="auto"/>
          <w:u w:val="single"/>
          <w:lang w:val="en-US" w:eastAsia="zh-CN"/>
        </w:rPr>
        <w:t xml:space="preserve">15 </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1</w:t>
      </w:r>
      <w:r>
        <w:rPr>
          <w:rFonts w:hint="eastAsia" w:ascii="宋体" w:hAnsi="宋体"/>
          <w:bCs/>
          <w:color w:val="7030A0"/>
        </w:rPr>
        <w:t>月</w:t>
      </w:r>
      <w:r>
        <w:rPr>
          <w:rFonts w:hint="eastAsia" w:ascii="宋体" w:hAnsi="宋体"/>
          <w:bCs/>
          <w:color w:val="7030A0"/>
          <w:u w:val="single"/>
          <w:lang w:val="en-US" w:eastAsia="zh-CN"/>
        </w:rPr>
        <w:t>12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2、承揽单位必须具备24小时承揽服务能力，配备足够作业人员，合理安排班次，作业人员不得疲劳作业，班次调整时不得连续24小时作业。</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3、承揽单位作业车辆须符合法律法规要求、符合公司车辆管理要求，定期做好车辆检维修工作，报废车辆一律不得进厂。承揽单位可在征得用车部门同意后，根据生产情况合理安排作业车辆数量。</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4、承揽单位在合同履行中，必须遵守我公司的安全、生产、环保、质量、现场、车辆交通等规章制度。如违反相关规章制度，我公司将依据规章制度要求给予考核。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5、合同履约保证金为5万元。合同执行期结束，经双方确认无合同纠纷后，我公司退还承揽单位履约保证金（无息）；若存在尚未解决合同争端，履约保证金的有效期将延长到上述争端最终解决且所有理赔完毕。</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6、中标单位须在收到中标通知书之日起10日内，准备好车辆、作业人员，所有作业人员需接受运输部安全培训、业务培训后方可上岗，履行合同。</w:t>
      </w:r>
    </w:p>
    <w:p>
      <w:pPr>
        <w:spacing w:line="240" w:lineRule="auto"/>
        <w:rPr>
          <w:rFonts w:hint="eastAsia" w:ascii="宋体" w:hAnsi="宋体"/>
          <w:b/>
          <w:color w:val="auto"/>
          <w:sz w:val="24"/>
          <w:szCs w:val="24"/>
          <w:lang w:val="en-US" w:eastAsia="zh-CN"/>
        </w:rPr>
      </w:pPr>
      <w:r>
        <w:rPr>
          <w:rFonts w:hint="eastAsia" w:ascii="宋体" w:hAnsi="宋体" w:eastAsia="宋体" w:cs="宋体"/>
          <w:color w:val="auto"/>
          <w:sz w:val="24"/>
          <w:szCs w:val="24"/>
          <w:lang w:val="en-US" w:eastAsia="zh-CN"/>
        </w:rPr>
        <w:t>7、合同期：2021年1月29日履行至2021年7月28日。</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lang w:val="en-US" w:eastAsia="zh-CN"/>
        </w:rPr>
      </w:pPr>
    </w:p>
    <w:p>
      <w:pPr>
        <w:spacing w:line="240" w:lineRule="auto"/>
        <w:rPr>
          <w:rFonts w:hint="eastAsia" w:ascii="宋体" w:hAnsi="宋体" w:eastAsia="宋体" w:cs="宋体"/>
          <w:b w:val="0"/>
          <w:bCs w:val="0"/>
          <w:sz w:val="24"/>
          <w:szCs w:val="24"/>
          <w:lang w:val="en-US" w:eastAsia="zh-CN"/>
        </w:rPr>
      </w:pPr>
    </w:p>
    <w:p>
      <w:pPr>
        <w:tabs>
          <w:tab w:val="left" w:pos="420"/>
          <w:tab w:val="left" w:pos="630"/>
        </w:tabs>
        <w:spacing w:line="300" w:lineRule="auto"/>
        <w:jc w:val="center"/>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不含税报价（适用税率</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eastAsia="zh-CN"/>
        </w:rPr>
        <w:t>）</w:t>
      </w:r>
    </w:p>
    <w:tbl>
      <w:tblPr>
        <w:tblStyle w:val="9"/>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6"/>
        <w:gridCol w:w="1269"/>
        <w:gridCol w:w="1563"/>
        <w:gridCol w:w="1665"/>
        <w:gridCol w:w="16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6" w:type="dxa"/>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946" w:type="dxa"/>
            <w:vAlign w:val="center"/>
          </w:tcPr>
          <w:p>
            <w:pPr>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作业内容</w:t>
            </w:r>
          </w:p>
        </w:tc>
        <w:tc>
          <w:tcPr>
            <w:tcW w:w="1269" w:type="dxa"/>
            <w:vAlign w:val="center"/>
          </w:tcPr>
          <w:p>
            <w:pPr>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车型</w:t>
            </w:r>
          </w:p>
        </w:tc>
        <w:tc>
          <w:tcPr>
            <w:tcW w:w="1563" w:type="dxa"/>
            <w:vAlign w:val="center"/>
          </w:tcPr>
          <w:p>
            <w:pPr>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结算方式</w:t>
            </w:r>
          </w:p>
        </w:tc>
        <w:tc>
          <w:tcPr>
            <w:tcW w:w="1665" w:type="dxa"/>
            <w:vAlign w:val="center"/>
          </w:tcPr>
          <w:p>
            <w:pPr>
              <w:spacing w:line="240" w:lineRule="auto"/>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eastAsia="zh-CN"/>
              </w:rPr>
              <w:t>单价</w:t>
            </w:r>
            <w:r>
              <w:rPr>
                <w:rFonts w:hint="eastAsia" w:ascii="宋体" w:hAnsi="宋体" w:eastAsia="宋体" w:cs="宋体"/>
                <w:sz w:val="24"/>
                <w:szCs w:val="24"/>
                <w:vertAlign w:val="baseline"/>
                <w:lang w:val="en-US" w:eastAsia="zh-CN"/>
              </w:rPr>
              <w:t xml:space="preserve">    </w:t>
            </w:r>
          </w:p>
        </w:tc>
        <w:tc>
          <w:tcPr>
            <w:tcW w:w="1665" w:type="dxa"/>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合计（每月）</w:t>
            </w:r>
            <w:r>
              <w:rPr>
                <w:rFonts w:hint="eastAsia" w:ascii="宋体" w:hAnsi="宋体" w:eastAsia="宋体" w:cs="宋体"/>
                <w:sz w:val="24"/>
                <w:szCs w:val="24"/>
                <w:vertAlign w:val="baseline"/>
                <w:lang w:val="en-US" w:eastAsia="zh-CN"/>
              </w:rPr>
              <w:t xml:space="preserve">   </w:t>
            </w:r>
          </w:p>
        </w:tc>
        <w:tc>
          <w:tcPr>
            <w:tcW w:w="722" w:type="dxa"/>
            <w:vAlign w:val="center"/>
          </w:tcPr>
          <w:p>
            <w:pPr>
              <w:spacing w:line="240" w:lineRule="auto"/>
              <w:jc w:val="center"/>
              <w:rPr>
                <w:rFonts w:hint="eastAsia" w:ascii="宋体" w:hAnsi="宋体" w:eastAsia="宋体" w:cs="宋体"/>
                <w:sz w:val="24"/>
                <w:szCs w:val="24"/>
                <w:vertAlign w:val="baseline"/>
              </w:rPr>
            </w:pPr>
            <w:r>
              <w:rPr>
                <w:rFonts w:hint="eastAsia" w:ascii="宋体" w:hAnsi="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6" w:type="dxa"/>
            <w:vAlign w:val="center"/>
          </w:tcPr>
          <w:p>
            <w:pPr>
              <w:spacing w:line="24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946" w:type="dxa"/>
            <w:vAlign w:val="center"/>
          </w:tcPr>
          <w:p>
            <w:pPr>
              <w:spacing w:line="24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砼运输</w:t>
            </w:r>
          </w:p>
        </w:tc>
        <w:tc>
          <w:tcPr>
            <w:tcW w:w="1269" w:type="dxa"/>
            <w:vAlign w:val="center"/>
          </w:tcPr>
          <w:p>
            <w:pPr>
              <w:spacing w:line="24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4.5m³以上</w:t>
            </w:r>
            <w:r>
              <w:rPr>
                <w:rFonts w:hint="eastAsia" w:ascii="宋体" w:hAnsi="宋体" w:cs="宋体"/>
                <w:color w:val="auto"/>
                <w:sz w:val="24"/>
                <w:szCs w:val="24"/>
                <w:highlight w:val="none"/>
                <w:vertAlign w:val="baseline"/>
                <w:lang w:eastAsia="zh-CN"/>
              </w:rPr>
              <w:t>搅拌车（</w:t>
            </w:r>
            <w:r>
              <w:rPr>
                <w:rFonts w:hint="eastAsia" w:ascii="宋体" w:hAnsi="宋体" w:cs="宋体"/>
                <w:color w:val="auto"/>
                <w:sz w:val="24"/>
                <w:szCs w:val="24"/>
                <w:highlight w:val="none"/>
                <w:vertAlign w:val="baseline"/>
                <w:lang w:val="en-US" w:eastAsia="zh-CN"/>
              </w:rPr>
              <w:t>2-3台</w:t>
            </w:r>
            <w:r>
              <w:rPr>
                <w:rFonts w:hint="eastAsia" w:ascii="宋体" w:hAnsi="宋体" w:cs="宋体"/>
                <w:color w:val="auto"/>
                <w:sz w:val="24"/>
                <w:szCs w:val="24"/>
                <w:highlight w:val="none"/>
                <w:vertAlign w:val="baseline"/>
                <w:lang w:eastAsia="zh-CN"/>
              </w:rPr>
              <w:t>）</w:t>
            </w:r>
          </w:p>
        </w:tc>
        <w:tc>
          <w:tcPr>
            <w:tcW w:w="1563" w:type="dxa"/>
            <w:vAlign w:val="center"/>
          </w:tcPr>
          <w:p>
            <w:pPr>
              <w:spacing w:line="24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结算费用=运输量*单价</w:t>
            </w:r>
          </w:p>
          <w:p>
            <w:pPr>
              <w:spacing w:line="24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月均约2500 m³</w:t>
            </w:r>
          </w:p>
        </w:tc>
        <w:tc>
          <w:tcPr>
            <w:tcW w:w="1665" w:type="dxa"/>
            <w:vAlign w:val="bottom"/>
          </w:tcPr>
          <w:p>
            <w:pPr>
              <w:spacing w:line="240" w:lineRule="auto"/>
              <w:jc w:val="center"/>
              <w:rPr>
                <w:rFonts w:hint="eastAsia" w:ascii="宋体" w:hAnsi="宋体" w:eastAsia="宋体" w:cs="宋体"/>
                <w:color w:val="auto"/>
                <w:sz w:val="24"/>
                <w:szCs w:val="24"/>
                <w:vertAlign w:val="baseline"/>
                <w:lang w:val="en-US" w:eastAsia="zh-CN" w:bidi="ar-SA"/>
              </w:rPr>
            </w:pP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元</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m³</w:t>
            </w:r>
          </w:p>
        </w:tc>
        <w:tc>
          <w:tcPr>
            <w:tcW w:w="1665" w:type="dxa"/>
            <w:vAlign w:val="bottom"/>
          </w:tcPr>
          <w:p>
            <w:pPr>
              <w:spacing w:line="240" w:lineRule="auto"/>
              <w:jc w:val="center"/>
              <w:rPr>
                <w:rFonts w:hint="eastAsia" w:ascii="宋体" w:hAnsi="宋体" w:eastAsia="宋体" w:cs="宋体"/>
                <w:color w:val="auto"/>
                <w:sz w:val="24"/>
                <w:szCs w:val="24"/>
                <w:vertAlign w:val="baseline"/>
              </w:rPr>
            </w:pPr>
          </w:p>
        </w:tc>
        <w:tc>
          <w:tcPr>
            <w:tcW w:w="722" w:type="dxa"/>
            <w:vMerge w:val="restart"/>
            <w:vAlign w:val="center"/>
          </w:tcPr>
          <w:p>
            <w:pPr>
              <w:spacing w:line="240" w:lineRule="auto"/>
              <w:jc w:val="center"/>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次月付款（转账现汇）</w:t>
            </w:r>
          </w:p>
          <w:p>
            <w:pPr>
              <w:spacing w:line="240" w:lineRule="auto"/>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6" w:type="dxa"/>
            <w:vAlign w:val="center"/>
          </w:tcPr>
          <w:p>
            <w:pPr>
              <w:spacing w:line="24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946" w:type="dxa"/>
            <w:vAlign w:val="center"/>
          </w:tcPr>
          <w:p>
            <w:pPr>
              <w:spacing w:line="24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砼泵送</w:t>
            </w:r>
          </w:p>
        </w:tc>
        <w:tc>
          <w:tcPr>
            <w:tcW w:w="1269" w:type="dxa"/>
            <w:vAlign w:val="center"/>
          </w:tcPr>
          <w:p>
            <w:pPr>
              <w:spacing w:line="24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val="en-US" w:eastAsia="zh-CN"/>
              </w:rPr>
              <w:t>46米（或以上）</w:t>
            </w:r>
            <w:r>
              <w:rPr>
                <w:rFonts w:hint="eastAsia" w:ascii="宋体" w:hAnsi="宋体" w:cs="宋体"/>
                <w:color w:val="auto"/>
                <w:sz w:val="24"/>
                <w:szCs w:val="24"/>
                <w:highlight w:val="none"/>
                <w:vertAlign w:val="baseline"/>
                <w:lang w:eastAsia="zh-CN"/>
              </w:rPr>
              <w:t>泵车（</w:t>
            </w:r>
            <w:r>
              <w:rPr>
                <w:rFonts w:hint="eastAsia" w:ascii="宋体" w:hAnsi="宋体" w:cs="宋体"/>
                <w:color w:val="auto"/>
                <w:sz w:val="24"/>
                <w:szCs w:val="24"/>
                <w:highlight w:val="none"/>
                <w:vertAlign w:val="baseline"/>
                <w:lang w:val="en-US" w:eastAsia="zh-CN"/>
              </w:rPr>
              <w:t>1台</w:t>
            </w:r>
            <w:r>
              <w:rPr>
                <w:rFonts w:hint="eastAsia" w:ascii="宋体" w:hAnsi="宋体" w:cs="宋体"/>
                <w:color w:val="auto"/>
                <w:sz w:val="24"/>
                <w:szCs w:val="24"/>
                <w:highlight w:val="none"/>
                <w:vertAlign w:val="baseline"/>
                <w:lang w:eastAsia="zh-CN"/>
              </w:rPr>
              <w:t>）</w:t>
            </w:r>
          </w:p>
        </w:tc>
        <w:tc>
          <w:tcPr>
            <w:tcW w:w="1563" w:type="dxa"/>
            <w:vAlign w:val="center"/>
          </w:tcPr>
          <w:p>
            <w:pPr>
              <w:spacing w:line="24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结算费用=泵送量*单价</w:t>
            </w:r>
          </w:p>
          <w:p>
            <w:pPr>
              <w:spacing w:line="240" w:lineRule="auto"/>
              <w:jc w:val="center"/>
              <w:rPr>
                <w:rFonts w:hint="eastAsia"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月均约1400 m³</w:t>
            </w:r>
          </w:p>
        </w:tc>
        <w:tc>
          <w:tcPr>
            <w:tcW w:w="1665" w:type="dxa"/>
            <w:vAlign w:val="bottom"/>
          </w:tcPr>
          <w:p>
            <w:pPr>
              <w:spacing w:line="240" w:lineRule="auto"/>
              <w:jc w:val="center"/>
              <w:rPr>
                <w:rFonts w:hint="eastAsia" w:ascii="宋体" w:hAnsi="宋体" w:eastAsia="宋体" w:cs="宋体"/>
                <w:color w:val="auto"/>
                <w:sz w:val="24"/>
                <w:szCs w:val="24"/>
                <w:vertAlign w:val="baseline"/>
                <w:lang w:val="en-US" w:eastAsia="zh-CN" w:bidi="ar-SA"/>
              </w:rPr>
            </w:pP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元</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m³</w:t>
            </w:r>
          </w:p>
        </w:tc>
        <w:tc>
          <w:tcPr>
            <w:tcW w:w="1665" w:type="dxa"/>
            <w:vAlign w:val="bottom"/>
          </w:tcPr>
          <w:p>
            <w:pPr>
              <w:spacing w:line="240" w:lineRule="auto"/>
              <w:jc w:val="center"/>
              <w:rPr>
                <w:rFonts w:hint="eastAsia" w:ascii="宋体" w:hAnsi="宋体" w:eastAsia="宋体" w:cs="宋体"/>
                <w:color w:val="auto"/>
                <w:sz w:val="24"/>
                <w:szCs w:val="24"/>
                <w:vertAlign w:val="baseline"/>
                <w:lang w:eastAsia="zh-CN"/>
              </w:rPr>
            </w:pPr>
          </w:p>
        </w:tc>
        <w:tc>
          <w:tcPr>
            <w:tcW w:w="722" w:type="dxa"/>
            <w:vMerge w:val="continue"/>
            <w:vAlign w:val="center"/>
          </w:tcPr>
          <w:p>
            <w:pPr>
              <w:spacing w:line="240" w:lineRule="auto"/>
              <w:jc w:val="cente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6" w:type="dxa"/>
            <w:vAlign w:val="center"/>
          </w:tcPr>
          <w:p>
            <w:pPr>
              <w:spacing w:line="240" w:lineRule="auto"/>
              <w:jc w:val="center"/>
              <w:rPr>
                <w:rFonts w:hint="eastAsia" w:ascii="宋体" w:hAnsi="宋体" w:cs="宋体"/>
                <w:color w:val="auto"/>
                <w:sz w:val="24"/>
                <w:szCs w:val="24"/>
                <w:highlight w:val="none"/>
                <w:vertAlign w:val="baseline"/>
                <w:lang w:eastAsia="zh-CN"/>
              </w:rPr>
            </w:pPr>
          </w:p>
        </w:tc>
        <w:tc>
          <w:tcPr>
            <w:tcW w:w="946" w:type="dxa"/>
            <w:vAlign w:val="center"/>
          </w:tcPr>
          <w:p>
            <w:pPr>
              <w:spacing w:line="240" w:lineRule="auto"/>
              <w:jc w:val="center"/>
              <w:rPr>
                <w:rFonts w:hint="eastAsia" w:ascii="宋体" w:hAnsi="宋体" w:cs="宋体"/>
                <w:color w:val="auto"/>
                <w:sz w:val="24"/>
                <w:szCs w:val="24"/>
                <w:highlight w:val="none"/>
                <w:vertAlign w:val="baseline"/>
                <w:lang w:eastAsia="zh-CN"/>
              </w:rPr>
            </w:pPr>
          </w:p>
        </w:tc>
        <w:tc>
          <w:tcPr>
            <w:tcW w:w="1269" w:type="dxa"/>
            <w:vAlign w:val="center"/>
          </w:tcPr>
          <w:p>
            <w:pPr>
              <w:spacing w:line="240" w:lineRule="auto"/>
              <w:jc w:val="center"/>
              <w:rPr>
                <w:rFonts w:hint="eastAsia" w:ascii="宋体" w:hAnsi="宋体" w:cs="宋体"/>
                <w:color w:val="auto"/>
                <w:sz w:val="24"/>
                <w:szCs w:val="24"/>
                <w:highlight w:val="none"/>
                <w:vertAlign w:val="baseline"/>
                <w:lang w:val="en-US" w:eastAsia="zh-CN"/>
              </w:rPr>
            </w:pPr>
          </w:p>
        </w:tc>
        <w:tc>
          <w:tcPr>
            <w:tcW w:w="1563" w:type="dxa"/>
            <w:vAlign w:val="center"/>
          </w:tcPr>
          <w:p>
            <w:pPr>
              <w:spacing w:line="240" w:lineRule="auto"/>
              <w:jc w:val="center"/>
              <w:rPr>
                <w:rFonts w:hint="default" w:ascii="宋体" w:hAnsi="宋体" w:cs="宋体"/>
                <w:b w:val="0"/>
                <w:i w:val="0"/>
                <w:color w:val="auto"/>
                <w:sz w:val="24"/>
                <w:szCs w:val="24"/>
                <w:highlight w:val="none"/>
                <w:lang w:val="en-US" w:eastAsia="zh-CN"/>
              </w:rPr>
            </w:pPr>
            <w:r>
              <w:rPr>
                <w:rFonts w:hint="eastAsia" w:ascii="宋体" w:hAnsi="宋体" w:cs="宋体"/>
                <w:b w:val="0"/>
                <w:i w:val="0"/>
                <w:color w:val="auto"/>
                <w:sz w:val="24"/>
                <w:szCs w:val="24"/>
                <w:highlight w:val="none"/>
                <w:lang w:val="en-US" w:eastAsia="zh-CN"/>
              </w:rPr>
              <w:t>总计</w:t>
            </w:r>
          </w:p>
        </w:tc>
        <w:tc>
          <w:tcPr>
            <w:tcW w:w="1665" w:type="dxa"/>
            <w:vAlign w:val="bottom"/>
          </w:tcPr>
          <w:p>
            <w:pPr>
              <w:spacing w:line="240" w:lineRule="auto"/>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w:t>
            </w:r>
          </w:p>
        </w:tc>
        <w:tc>
          <w:tcPr>
            <w:tcW w:w="1665" w:type="dxa"/>
            <w:vAlign w:val="bottom"/>
          </w:tcPr>
          <w:p>
            <w:pPr>
              <w:spacing w:line="240" w:lineRule="auto"/>
              <w:jc w:val="center"/>
              <w:rPr>
                <w:rFonts w:hint="eastAsia" w:ascii="宋体" w:hAnsi="宋体" w:eastAsia="宋体" w:cs="宋体"/>
                <w:sz w:val="24"/>
                <w:szCs w:val="24"/>
                <w:vertAlign w:val="baseline"/>
                <w:lang w:eastAsia="zh-CN"/>
              </w:rPr>
            </w:pPr>
          </w:p>
        </w:tc>
        <w:tc>
          <w:tcPr>
            <w:tcW w:w="722" w:type="dxa"/>
            <w:vAlign w:val="center"/>
          </w:tcPr>
          <w:p>
            <w:pPr>
              <w:spacing w:line="240" w:lineRule="auto"/>
              <w:jc w:val="center"/>
              <w:rPr>
                <w:rFonts w:hint="eastAsia" w:ascii="宋体" w:hAnsi="宋体" w:eastAsia="宋体" w:cs="宋体"/>
                <w:color w:val="auto"/>
                <w:sz w:val="24"/>
                <w:szCs w:val="24"/>
                <w:vertAlign w:val="baseline"/>
              </w:rPr>
            </w:pPr>
          </w:p>
        </w:tc>
      </w:tr>
    </w:tbl>
    <w:p>
      <w:pPr>
        <w:numPr>
          <w:ilvl w:val="0"/>
          <w:numId w:val="0"/>
        </w:numPr>
        <w:spacing w:line="360" w:lineRule="auto"/>
        <w:rPr>
          <w:rFonts w:hint="eastAsia" w:ascii="宋体" w:hAnsi="宋体" w:cs="宋体"/>
          <w:sz w:val="24"/>
          <w:szCs w:val="24"/>
          <w:lang w:val="en-US" w:eastAsia="zh-CN"/>
        </w:rPr>
      </w:pPr>
    </w:p>
    <w:p>
      <w:pPr>
        <w:spacing w:line="360" w:lineRule="auto"/>
        <w:rPr>
          <w:rFonts w:hint="eastAsia"/>
          <w:lang w:eastAsia="zh-CN"/>
        </w:rPr>
      </w:pPr>
      <w:r>
        <w:rPr>
          <w:rFonts w:hint="eastAsia"/>
          <w:lang w:eastAsia="zh-CN"/>
        </w:rPr>
        <w:t>日期：</w:t>
      </w:r>
    </w:p>
    <w:p>
      <w:pPr>
        <w:spacing w:line="360" w:lineRule="auto"/>
        <w:rPr>
          <w:rFonts w:hint="eastAsia"/>
          <w:lang w:eastAsia="zh-CN"/>
        </w:rPr>
      </w:pPr>
      <w:r>
        <w:rPr>
          <w:rFonts w:hint="eastAsia"/>
          <w:lang w:eastAsia="zh-CN"/>
        </w:rPr>
        <w:t>单位：</w:t>
      </w: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1</w:t>
      </w:r>
      <w:r>
        <w:rPr>
          <w:rFonts w:ascii="宋体" w:hAnsi="宋体"/>
          <w:color w:val="auto"/>
          <w:sz w:val="24"/>
          <w:szCs w:val="24"/>
        </w:rPr>
        <w:t>月</w:t>
      </w:r>
      <w:r>
        <w:rPr>
          <w:rFonts w:hint="eastAsia" w:ascii="宋体" w:hAnsi="宋体"/>
          <w:color w:val="auto"/>
          <w:sz w:val="24"/>
          <w:szCs w:val="24"/>
          <w:lang w:val="en-US" w:eastAsia="zh-CN"/>
        </w:rPr>
        <w:t>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90862F6"/>
    <w:rsid w:val="0A4158D0"/>
    <w:rsid w:val="10772EB5"/>
    <w:rsid w:val="11DE5603"/>
    <w:rsid w:val="13BA318B"/>
    <w:rsid w:val="1C28711D"/>
    <w:rsid w:val="1F415A0F"/>
    <w:rsid w:val="1FC61767"/>
    <w:rsid w:val="234F5E22"/>
    <w:rsid w:val="23F27268"/>
    <w:rsid w:val="252D19D6"/>
    <w:rsid w:val="25A87FB8"/>
    <w:rsid w:val="25F13BFC"/>
    <w:rsid w:val="2BC407A2"/>
    <w:rsid w:val="2D230D73"/>
    <w:rsid w:val="2E34761D"/>
    <w:rsid w:val="30033579"/>
    <w:rsid w:val="30044565"/>
    <w:rsid w:val="323F2693"/>
    <w:rsid w:val="34FF5DC8"/>
    <w:rsid w:val="390D4485"/>
    <w:rsid w:val="3A4B4F63"/>
    <w:rsid w:val="3F114200"/>
    <w:rsid w:val="41417945"/>
    <w:rsid w:val="41DB42F4"/>
    <w:rsid w:val="48962505"/>
    <w:rsid w:val="4C62699D"/>
    <w:rsid w:val="513C3EF8"/>
    <w:rsid w:val="556B3A6A"/>
    <w:rsid w:val="589B3C10"/>
    <w:rsid w:val="5B2D6E0C"/>
    <w:rsid w:val="5DA113C7"/>
    <w:rsid w:val="5DA500D7"/>
    <w:rsid w:val="603E0EA5"/>
    <w:rsid w:val="607D1710"/>
    <w:rsid w:val="62CA5CF7"/>
    <w:rsid w:val="639E36F2"/>
    <w:rsid w:val="6D663618"/>
    <w:rsid w:val="71CE0F14"/>
    <w:rsid w:val="76892D68"/>
    <w:rsid w:val="772E1C21"/>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2021-01-05T01:32:06Z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