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保定河治理挡土墙、护坡工程项目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保定河治理挡土墙、护坡工程项目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保定河治理挡土墙、护坡工程项目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包含机械开挖土方约650m3，土方回填约500m3，砼浇筑（喷射）约110m3，钢筋制安约10t，反滤包约100ｍ，碎石灌浆垫层约5m3，砖砌台阶约15ｍ2，成品侧石安砌约25ｍ等</w:t>
      </w:r>
      <w:r>
        <w:rPr>
          <w:rFonts w:hint="eastAsia" w:ascii="宋体" w:hAnsi="宋体"/>
          <w:color w:val="auto"/>
          <w:lang w:eastAsia="zh-CN"/>
        </w:rPr>
        <w:t>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2022年6月17日（暂定）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2022年7月27日                                                   </w:t>
      </w:r>
    </w:p>
    <w:p>
      <w:pPr>
        <w:spacing w:line="360" w:lineRule="auto"/>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40</w:t>
      </w:r>
      <w:r>
        <w:rPr>
          <w:rFonts w:hint="eastAsia" w:ascii="宋体" w:hAnsi="宋体" w:cs="宋体"/>
          <w:color w:val="auto"/>
          <w:kern w:val="36"/>
        </w:rPr>
        <w:t xml:space="preserve">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114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sz w:val="24"/>
          <w:szCs w:val="24"/>
        </w:rPr>
      </w:pPr>
      <w:r>
        <w:rPr>
          <w:rFonts w:hint="eastAsia"/>
          <w:sz w:val="24"/>
          <w:szCs w:val="24"/>
        </w:rPr>
        <w:t>本工程结算执行《建设工程结算管理暂行办法》。</w:t>
      </w:r>
    </w:p>
    <w:p>
      <w:pPr>
        <w:numPr>
          <w:ilvl w:val="0"/>
          <w:numId w:val="2"/>
        </w:numPr>
        <w:spacing w:before="156" w:beforeLines="50" w:after="156" w:afterLines="50"/>
        <w:rPr>
          <w:sz w:val="24"/>
          <w:szCs w:val="24"/>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结合定额优惠率（材料费不参与总价优惠）的方式进行报价。除</w:t>
      </w:r>
      <w:r>
        <w:rPr>
          <w:rFonts w:hint="eastAsia"/>
          <w:b/>
          <w:bCs/>
          <w:sz w:val="24"/>
          <w:szCs w:val="24"/>
        </w:rPr>
        <w:t>单价包干外</w:t>
      </w:r>
      <w:r>
        <w:rPr>
          <w:rFonts w:hint="eastAsia"/>
          <w:sz w:val="24"/>
          <w:szCs w:val="24"/>
        </w:rPr>
        <w:t>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z w:val="24"/>
          <w:szCs w:val="24"/>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b/>
          <w:bCs/>
          <w:sz w:val="24"/>
          <w:szCs w:val="24"/>
          <w:u w:val="single"/>
        </w:rPr>
      </w:pPr>
      <w:r>
        <w:rPr>
          <w:rFonts w:hint="eastAsia"/>
          <w:sz w:val="24"/>
          <w:szCs w:val="24"/>
          <w:u w:val="single"/>
        </w:rPr>
        <w:t>该工程</w:t>
      </w:r>
      <w:r>
        <w:rPr>
          <w:rFonts w:hint="eastAsia" w:ascii="宋体" w:hAnsi="宋体"/>
          <w:sz w:val="24"/>
          <w:u w:val="single"/>
        </w:rPr>
        <w:t>所有材料</w:t>
      </w:r>
      <w:r>
        <w:rPr>
          <w:rFonts w:hint="eastAsia" w:ascii="宋体" w:hAnsi="宋体"/>
          <w:sz w:val="24"/>
          <w:u w:val="single"/>
          <w:lang w:eastAsia="zh-CN"/>
        </w:rPr>
        <w:t>（除钢筋外）</w:t>
      </w:r>
      <w:r>
        <w:rPr>
          <w:rFonts w:hint="eastAsia" w:ascii="宋体" w:hAnsi="宋体"/>
          <w:color w:val="FF0000"/>
          <w:sz w:val="24"/>
          <w:u w:val="single"/>
        </w:rPr>
        <w:t>由承包人提供</w:t>
      </w:r>
      <w:r>
        <w:rPr>
          <w:rFonts w:hint="eastAsia"/>
          <w:b/>
          <w:bCs/>
          <w:color w:val="FF0000"/>
          <w:sz w:val="24"/>
          <w:szCs w:val="24"/>
          <w:u w:val="single"/>
        </w:rPr>
        <w:t>。</w:t>
      </w:r>
    </w:p>
    <w:p>
      <w:pPr>
        <w:numPr>
          <w:ilvl w:val="0"/>
          <w:numId w:val="2"/>
        </w:numPr>
        <w:spacing w:before="156" w:beforeLines="50" w:after="156" w:afterLines="50"/>
        <w:rPr>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color w:val="FF0000"/>
          <w:sz w:val="24"/>
          <w:szCs w:val="24"/>
        </w:rPr>
      </w:pPr>
      <w:r>
        <w:rPr>
          <w:sz w:val="24"/>
          <w:szCs w:val="24"/>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rPr>
      </w:pPr>
      <w:r>
        <w:rPr>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sz w:val="24"/>
          <w:szCs w:val="24"/>
        </w:rPr>
      </w:pPr>
      <w:r>
        <w:rPr>
          <w:sz w:val="24"/>
          <w:szCs w:val="24"/>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sz w:val="24"/>
          <w:szCs w:val="24"/>
        </w:rPr>
      </w:pPr>
      <w:bookmarkStart w:id="0" w:name="_Hlk67732197"/>
      <w:r>
        <w:rPr>
          <w:rFonts w:hint="eastAsia"/>
          <w:sz w:val="24"/>
          <w:szCs w:val="24"/>
          <w:u w:val="single"/>
        </w:rPr>
        <w:t>单价包干部分材料价差除钢材</w:t>
      </w:r>
      <w:r>
        <w:rPr>
          <w:rFonts w:hint="eastAsia"/>
          <w:sz w:val="24"/>
          <w:szCs w:val="24"/>
          <w:u w:val="single"/>
          <w:lang w:eastAsia="zh-CN"/>
        </w:rPr>
        <w:t>和混凝土</w:t>
      </w:r>
      <w:r>
        <w:rPr>
          <w:rFonts w:hint="eastAsia"/>
          <w:b/>
          <w:bCs/>
          <w:color w:val="FF0000"/>
          <w:sz w:val="24"/>
          <w:szCs w:val="24"/>
          <w:highlight w:val="yellow"/>
          <w:u w:val="single"/>
        </w:rPr>
        <w:t>外不予调整，钢材</w:t>
      </w:r>
      <w:r>
        <w:rPr>
          <w:rFonts w:hint="eastAsia"/>
          <w:sz w:val="24"/>
          <w:szCs w:val="24"/>
          <w:u w:val="single"/>
          <w:lang w:eastAsia="zh-CN"/>
        </w:rPr>
        <w:t>和混凝土</w:t>
      </w:r>
      <w:r>
        <w:rPr>
          <w:rFonts w:hint="eastAsia"/>
          <w:sz w:val="24"/>
          <w:szCs w:val="24"/>
          <w:u w:val="single"/>
        </w:rPr>
        <w:t>价格以</w:t>
      </w:r>
      <w:r>
        <w:rPr>
          <w:rFonts w:hint="eastAsia"/>
          <w:b/>
          <w:bCs/>
          <w:color w:val="FF0000"/>
          <w:sz w:val="24"/>
          <w:szCs w:val="24"/>
          <w:u w:val="single"/>
        </w:rPr>
        <w:t>20</w:t>
      </w:r>
      <w:r>
        <w:rPr>
          <w:rFonts w:hint="eastAsia"/>
          <w:b/>
          <w:bCs/>
          <w:color w:val="FF0000"/>
          <w:sz w:val="24"/>
          <w:szCs w:val="24"/>
          <w:u w:val="single"/>
          <w:lang w:val="en-US" w:eastAsia="zh-CN"/>
        </w:rPr>
        <w:t>22</w:t>
      </w:r>
      <w:r>
        <w:rPr>
          <w:rFonts w:hint="eastAsia"/>
          <w:b/>
          <w:bCs/>
          <w:color w:val="FF0000"/>
          <w:sz w:val="24"/>
          <w:szCs w:val="24"/>
          <w:u w:val="single"/>
        </w:rPr>
        <w:t>年第</w:t>
      </w:r>
      <w:r>
        <w:rPr>
          <w:rFonts w:hint="eastAsia"/>
          <w:b/>
          <w:bCs/>
          <w:color w:val="FF0000"/>
          <w:sz w:val="24"/>
          <w:szCs w:val="24"/>
          <w:u w:val="single"/>
          <w:lang w:val="en-US" w:eastAsia="zh-CN"/>
        </w:rPr>
        <w:t>5</w:t>
      </w:r>
      <w:r>
        <w:rPr>
          <w:rFonts w:hint="eastAsia"/>
          <w:b/>
          <w:bCs/>
          <w:color w:val="FF0000"/>
          <w:sz w:val="24"/>
          <w:szCs w:val="24"/>
          <w:u w:val="single"/>
        </w:rPr>
        <w:t>期</w:t>
      </w:r>
      <w:r>
        <w:rPr>
          <w:rFonts w:hint="eastAsia"/>
          <w:sz w:val="24"/>
          <w:szCs w:val="24"/>
          <w:u w:val="single"/>
        </w:rPr>
        <w:t>芜湖市市场信息价为基准，芜湖市市场信息价没有的以合肥市市场信息价为基准，若施工期间材料单价涨跌幅超过±</w:t>
      </w:r>
      <w:r>
        <w:rPr>
          <w:sz w:val="24"/>
          <w:szCs w:val="24"/>
          <w:u w:val="single"/>
        </w:rPr>
        <w:t>5</w:t>
      </w:r>
      <w:r>
        <w:rPr>
          <w:rFonts w:hint="eastAsia"/>
          <w:sz w:val="24"/>
          <w:szCs w:val="24"/>
          <w:u w:val="single"/>
        </w:rPr>
        <w:t>%时，其超过部分据实调整钢材</w:t>
      </w:r>
      <w:r>
        <w:rPr>
          <w:rFonts w:hint="eastAsia"/>
          <w:sz w:val="24"/>
          <w:szCs w:val="24"/>
          <w:u w:val="single"/>
          <w:lang w:eastAsia="zh-CN"/>
        </w:rPr>
        <w:t>和混凝土</w:t>
      </w:r>
      <w:r>
        <w:rPr>
          <w:rFonts w:hint="eastAsia"/>
          <w:sz w:val="24"/>
          <w:szCs w:val="24"/>
          <w:u w:val="single"/>
        </w:rPr>
        <w:t>价格，芜湖和合肥市场信息价查询不到的不予调整。</w:t>
      </w:r>
    </w:p>
    <w:p>
      <w:pPr>
        <w:numPr>
          <w:ilvl w:val="0"/>
          <w:numId w:val="2"/>
        </w:numPr>
        <w:spacing w:before="156" w:beforeLines="50" w:after="156" w:afterLines="50"/>
        <w:rPr>
          <w:sz w:val="24"/>
          <w:szCs w:val="24"/>
        </w:rPr>
      </w:pPr>
      <w:r>
        <w:rPr>
          <w:rFonts w:hint="eastAsia"/>
          <w:sz w:val="24"/>
          <w:szCs w:val="24"/>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sz w:val="24"/>
          <w:szCs w:val="24"/>
        </w:rPr>
      </w:pPr>
      <w:r>
        <w:rPr>
          <w:rFonts w:hint="eastAsia"/>
          <w:sz w:val="24"/>
          <w:szCs w:val="24"/>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sz w:val="24"/>
          <w:szCs w:val="24"/>
        </w:rPr>
        <w:t>工程内容按合同约定执行，开具增值税发票执行9%税率。</w:t>
      </w:r>
    </w:p>
    <w:p>
      <w:pPr>
        <w:numPr>
          <w:ilvl w:val="0"/>
          <w:numId w:val="2"/>
        </w:numPr>
        <w:spacing w:before="156" w:beforeLines="50" w:after="156" w:afterLines="50"/>
        <w:rPr>
          <w:b w:val="0"/>
          <w:bCs w:val="0"/>
          <w:color w:val="auto"/>
          <w:sz w:val="24"/>
          <w:szCs w:val="24"/>
          <w:highlight w:val="none"/>
        </w:rPr>
      </w:pPr>
      <w:r>
        <w:rPr>
          <w:sz w:val="24"/>
          <w:szCs w:val="24"/>
        </w:rPr>
        <w:t>发包人在指定位置提供施工电源及水源，之外部分承包人自行承担，现场施工水电费结算时按合同总价的</w:t>
      </w:r>
      <w:r>
        <w:rPr>
          <w:rFonts w:hint="eastAsia"/>
          <w:sz w:val="24"/>
          <w:szCs w:val="24"/>
        </w:rPr>
        <w:t>7</w:t>
      </w:r>
      <w:r>
        <w:rPr>
          <w:sz w:val="24"/>
          <w:szCs w:val="24"/>
        </w:rPr>
        <w:t>‰扣除或装表据实扣除。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1.</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sz w:val="24"/>
          <w:szCs w:val="24"/>
        </w:rPr>
        <w:t xml:space="preserve"> </w:t>
      </w:r>
      <w:r>
        <w:rPr>
          <w:rFonts w:hint="eastAsia" w:ascii="宋体" w:hAnsi="宋体" w:cs="宋体" w:eastAsiaTheme="minorEastAsia"/>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w:t>
      </w:r>
      <w:r>
        <w:rPr>
          <w:rFonts w:hint="eastAsia" w:ascii="宋体" w:hAnsi="宋体" w:cs="宋体" w:eastAsiaTheme="minorEastAsia"/>
          <w:color w:val="auto"/>
          <w:kern w:val="2"/>
          <w:sz w:val="21"/>
          <w:szCs w:val="22"/>
          <w:lang w:val="en-US" w:eastAsia="zh-CN" w:bidi="ar-SA"/>
        </w:rPr>
        <w:t>双方约定的工程款（进度款）支付的方式：以上工程无预付款；</w:t>
      </w:r>
      <w:r>
        <w:rPr>
          <w:rFonts w:hint="eastAsia" w:asciiTheme="minorHAnsi" w:hAnsiTheme="minorHAnsi" w:eastAsiaTheme="minorEastAsia" w:cstheme="minorBidi"/>
          <w:color w:val="FF0000"/>
          <w:kern w:val="2"/>
          <w:sz w:val="21"/>
          <w:szCs w:val="22"/>
          <w:lang w:val="en-US" w:eastAsia="zh-CN" w:bidi="ar-SA"/>
        </w:rPr>
        <w:t>工程完工后付至已完工程量的 70%，</w:t>
      </w:r>
      <w:r>
        <w:rPr>
          <w:rFonts w:hint="eastAsia" w:ascii="宋体" w:hAnsi="宋体" w:cs="宋体" w:eastAsiaTheme="minorEastAsia"/>
          <w:color w:val="auto"/>
          <w:kern w:val="2"/>
          <w:sz w:val="21"/>
          <w:szCs w:val="22"/>
          <w:lang w:val="en-US" w:eastAsia="zh-CN" w:bidi="ar-SA"/>
        </w:rPr>
        <w:t>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yang_19821112</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240" w:lineRule="auto"/>
        <w:jc w:val="center"/>
        <w:rPr>
          <w:rFonts w:ascii="宋体" w:hAnsi="宋体"/>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u w:val="single"/>
          <w:lang w:eastAsia="zh-CN"/>
        </w:rPr>
        <w:t>保定河治理挡土墙、护坡工程</w:t>
      </w:r>
      <w:r>
        <w:rPr>
          <w:rFonts w:hint="eastAsia" w:ascii="宋体" w:hAnsi="宋体"/>
          <w:b/>
          <w:bCs/>
          <w:sz w:val="36"/>
          <w:szCs w:val="36"/>
          <w:highlight w:val="none"/>
          <w:u w:val="single"/>
        </w:rPr>
        <w:t xml:space="preserve"> </w:t>
      </w:r>
      <w:r>
        <w:rPr>
          <w:rFonts w:hint="eastAsia" w:ascii="宋体" w:hAnsi="宋体"/>
          <w:b/>
          <w:bCs/>
          <w:sz w:val="36"/>
          <w:szCs w:val="36"/>
          <w:highlight w:val="none"/>
          <w:lang w:val="en-US" w:eastAsia="zh-CN"/>
        </w:rPr>
        <w:t>报价</w:t>
      </w:r>
      <w:r>
        <w:rPr>
          <w:rFonts w:hint="eastAsia" w:ascii="宋体" w:hAnsi="宋体"/>
          <w:b/>
          <w:bCs/>
          <w:sz w:val="36"/>
          <w:szCs w:val="36"/>
          <w:highlight w:val="none"/>
        </w:rPr>
        <w:t>单</w:t>
      </w:r>
    </w:p>
    <w:p>
      <w:pPr>
        <w:tabs>
          <w:tab w:val="left" w:pos="720"/>
          <w:tab w:val="left" w:pos="7200"/>
        </w:tabs>
        <w:snapToGrid w:val="0"/>
        <w:spacing w:line="240" w:lineRule="auto"/>
        <w:ind w:firstLine="211" w:firstLineChars="100"/>
        <w:rPr>
          <w:b/>
          <w:color w:val="auto"/>
        </w:rPr>
      </w:pPr>
    </w:p>
    <w:tbl>
      <w:tblPr>
        <w:tblpPr w:leftFromText="180" w:rightFromText="180" w:vertAnchor="text" w:horzAnchor="page" w:tblpX="903" w:tblpY="297"/>
        <w:tblOverlap w:val="never"/>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5"/>
        <w:gridCol w:w="1485"/>
        <w:gridCol w:w="1200"/>
        <w:gridCol w:w="1020"/>
        <w:gridCol w:w="1560"/>
        <w:gridCol w:w="9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4" w:name="_GoBack"/>
            <w:bookmarkEnd w:id="4"/>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机械开挖土方</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土方回填</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砼浇筑（喷射）</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拦标价：1100元/m3，包括卸车、运输、倒运、支模、对拉丝、浇筑（喷射）、脚手架、养生等涉及的全部工序及人工费、机械费、材料费、措施费、不可竞争费、税金、水电费等全部费用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拦标价：1300元/t，包括卸车、运输、倒运、制作、安装等涉及的全部工序及人工费、机械费、材料费(不含钢筋材料费)、措施费、不可竞争费、税金、水电费等全部费用。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反滤包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拦标价：250元/m，包括卸车、运输、倒运、铺设、夯实等涉及的全部工序及人工费、机械费、材料费、措施费、不可竞争费、税金、水电费等全部费用。综合了夯实黏土、透水性填料、土工布、泄水孔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碎石灌浆垫层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拦标价：450元/m3，包括装车、运输、铺设、平整、夯实、灌浆等涉及的全部工序及人工费、机械费、材料费、措施费、不可竞争费、税金、水电费等全部费用。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砖砌台阶</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拦标价：140元/m2，包括卸车、运输、倒运、砌砖、表面抹水泥砂浆等涉及的全部工序及人工费、机械费、材料费、措施费、不可竞争费、税金、水电费等全部费用。综合了外表面抹水泥砂浆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成品侧石安砌</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拦标价：50元/m，包括卸车、运输、倒运、侧石安砌等涉及的全部工序及人工费、机械费、材料费、措施费、不可竞争费、税金、水电费等全部费用。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  20000     元</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拦标价：19800元，执行2018版安徽省建设工程计价定额及配套费用定额，材料费不参与总价优惠。措施项目费以现场确认形式据实计取，二次搬运费不计取。</w:t>
            </w:r>
          </w:p>
        </w:tc>
      </w:tr>
    </w:tbl>
    <w:p>
      <w:pPr>
        <w:pStyle w:val="2"/>
        <w:rPr>
          <w:b/>
          <w:color w:val="auto"/>
        </w:rPr>
      </w:pPr>
    </w:p>
    <w:p>
      <w:pPr>
        <w:pStyle w:val="2"/>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91886"/>
      <w:bookmarkStart w:id="2" w:name="_Toc15231775"/>
      <w:bookmarkStart w:id="3" w:name="_Toc532887698"/>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65C3E9C"/>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9EC531C"/>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AD07DB"/>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4B4A97"/>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6F56D40"/>
    <w:rsid w:val="77676C2F"/>
    <w:rsid w:val="782F64FC"/>
    <w:rsid w:val="7A1268BD"/>
    <w:rsid w:val="7A471BC2"/>
    <w:rsid w:val="7BBC59D1"/>
    <w:rsid w:val="7C3074C7"/>
    <w:rsid w:val="7C380856"/>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7853</Words>
  <Characters>8237</Characters>
  <Lines>80</Lines>
  <Paragraphs>22</Paragraphs>
  <TotalTime>0</TotalTime>
  <ScaleCrop>false</ScaleCrop>
  <LinksUpToDate>false</LinksUpToDate>
  <CharactersWithSpaces>8649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2022-06-10T08:36:50Z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