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盘条入库发运项目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5</w:t>
      </w:r>
      <w:r>
        <w:rPr>
          <w:rFonts w:ascii="宋体" w:hAnsi="宋体"/>
          <w:color w:val="000000"/>
        </w:rPr>
        <w:t>月</w:t>
      </w:r>
      <w:r>
        <w:rPr>
          <w:rFonts w:hint="eastAsia" w:ascii="宋体" w:hAnsi="宋体"/>
          <w:color w:val="000000"/>
          <w:lang w:val="en-US" w:eastAsia="zh-CN"/>
        </w:rPr>
        <w:t>25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YSQC202106009PTRKFYXM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盘条入库发运项目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盘条入库发运项目：</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1、轧钢部下线盘条倒运至运输部成品库房（含临时堆存场地），临时用车；运输部成品工段盘条装汽车、装火车倒运、移库倒垛和倒运废钢。</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2、三山港内集港作业，集港作业次数较少，倒运量较少。</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人员、车辆要求：</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1、每班次至少需要6名叉车工人，多数情况下6名叉车工人可以保证生产发运需求，任务繁 忙时需要增加2人补充发运（提前一个班次通知）。根据生产发运需求，承揽方必须满足运输部的加班需求；</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2、日常保证有6部（或以上）6吨叉车，且叉车结构能够满足公司盘条装卸要求(叉车24小时 不间断作业，损坏率相对较高，为保证入库、发运连续性，需备有足够的备用叉车)，叉车损坏需要1小时内补充；任务繁忙时需要另外增加2台叉车参与发运；</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1</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4</w:t>
      </w:r>
      <w:bookmarkStart w:id="0" w:name="_GoBack"/>
      <w:bookmarkEnd w:id="0"/>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年</w:t>
      </w:r>
      <w:r>
        <w:rPr>
          <w:rFonts w:hint="eastAsia" w:ascii="宋体" w:hAnsi="宋体"/>
          <w:bCs/>
          <w:color w:val="7030A0"/>
          <w:lang w:val="en-US" w:eastAsia="zh-CN"/>
        </w:rPr>
        <w:t>6</w:t>
      </w:r>
      <w:r>
        <w:rPr>
          <w:rFonts w:hint="eastAsia" w:ascii="宋体" w:hAnsi="宋体"/>
          <w:bCs/>
          <w:color w:val="7030A0"/>
        </w:rPr>
        <w:t>月</w:t>
      </w:r>
      <w:r>
        <w:rPr>
          <w:rFonts w:hint="eastAsia" w:ascii="宋体" w:hAnsi="宋体"/>
          <w:bCs/>
          <w:color w:val="7030A0"/>
          <w:u w:val="single"/>
          <w:lang w:val="en-US" w:eastAsia="zh-CN"/>
        </w:rPr>
        <w:t>1</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1、承揽单位应具备独立承担安全事故风险的经济实力,须向芜湖新兴铸管缴纳安全保障金60万元人民币，应在合同履行前10日从其基本账户转出；须为作业人员购买保险，保额不低于60万元人民币；满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服务能力，配备足够作业人员，合理安排班次，作业人员不得疲劳作业，班次调整时不得连续24小时作业。承揽单位应对其作业人员进行与业务相关的安全培训和教育，作业人员上岗前需接受芜湖新兴的安全培训和教育。</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3、承揽单位叉车需达到国三排放标准，完成环保喷码，需提交排放合格的检测报告。叉车需定期检验，定期检验不合格或者安全检验合格标志超过有效期的不得使用。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4、承揽单位必须具备24小时承揽服务能力，配备足够作业人员，合理安排班次，作业人员不得疲劳作业，班次调整时不得连续24小时作业；作业人员须持有国家相关部门核发的有效证件。</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每班次至少需要6名叉车工人，多数情况下6名叉车工人可以保证生产发运需求，任务繁忙时需要增加2人补充发运（提前一个班次通知）。根据生产发运需求，承揽方必须满足运输部的加班需求。作业量较少时，承揽单位如需减少作业叉车，必须经过成品工段同意。</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6、日常保证有6部（或以上）6吨叉车，且叉车结构能够满足公司盘条装卸要求(叉车24小时 不间断作业，损坏率相对较高，为保证入库、发运连续性，需备有足够的备用叉车)，叉车损坏需要1小时内补充；任务繁忙时需要另外增加2台叉车参与发运。</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7、承揽单位作业人员、车辆应在合同履行前5日全部到位，以完成人员培训、人员进厂手续及车辆进厂手续等。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作业期间，因承揽单位自身原因导致安全事故的，由承揽单位自行处理并承担责任，芜湖新兴铸管不负担相关赔偿、补偿责任。事故处理过程中，承揽单位推诿承担责任或难以承担责任时，芜湖新兴铸管以60万元安全保障金及双方发生的业务结算费用协调处理已发生的事故。</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9、作业期间，因承揽单位自身原因造成芜湖新兴铸管经济损失的，承揽单位应予赔偿。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10、合同履约保证金为5万元人民币，承揽单位应在合同履行前从其基本账户转出。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11、在合同履行中，承揽单位必须遵守芜湖新兴的安全、生产、物流、环保、质量、现场、车辆交通等规章制度。如违反相关规章制度，芜湖新兴将依据规章制度要求给予考核。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12、合同签订后，因国家政策、芜湖新兴生产经营等客观情况发生较大变化确需改动的，双方可根据具体情况协商解决；协商不成的，可终止合同。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13、结算方式：按月结算，收票次月付款（转账或现汇）。</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14、合同期：2021年6月28日至2021年12月28日。</w:t>
      </w:r>
    </w:p>
    <w:p>
      <w:pPr>
        <w:spacing w:line="240" w:lineRule="auto"/>
        <w:rPr>
          <w:rFonts w:hint="eastAsia" w:ascii="宋体" w:hAnsi="宋体" w:eastAsia="宋体" w:cs="宋体"/>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widowControl w:val="0"/>
        <w:tabs>
          <w:tab w:val="left" w:pos="420"/>
          <w:tab w:val="left" w:pos="630"/>
        </w:tabs>
        <w:spacing w:line="300" w:lineRule="auto"/>
        <w:jc w:val="center"/>
        <w:rPr>
          <w:rFonts w:hint="eastAsia" w:ascii="Times New Roman" w:hAnsi="Times New Roman" w:cs="Times New Roman"/>
          <w:kern w:val="2"/>
          <w:sz w:val="28"/>
          <w:szCs w:val="24"/>
          <w:u w:val="none"/>
          <w:lang w:val="en-US" w:eastAsia="zh-CN"/>
        </w:rPr>
      </w:pPr>
      <w:r>
        <w:rPr>
          <w:rFonts w:hint="eastAsia" w:ascii="Times New Roman" w:hAnsi="Times New Roman" w:cs="Times New Roman"/>
          <w:kern w:val="2"/>
          <w:sz w:val="28"/>
          <w:szCs w:val="24"/>
          <w:u w:val="none"/>
          <w:lang w:eastAsia="zh-CN"/>
        </w:rPr>
        <w:t>报价表（</w:t>
      </w:r>
      <w:r>
        <w:rPr>
          <w:rFonts w:hint="eastAsia" w:ascii="Times New Roman" w:hAnsi="Times New Roman" w:cs="Times New Roman"/>
          <w:kern w:val="2"/>
          <w:sz w:val="21"/>
          <w:szCs w:val="20"/>
          <w:u w:val="none"/>
          <w:lang w:eastAsia="zh-CN"/>
        </w:rPr>
        <w:t>不含税，适用税率</w:t>
      </w:r>
      <w:r>
        <w:rPr>
          <w:rFonts w:hint="eastAsia" w:ascii="Times New Roman" w:hAnsi="Times New Roman" w:cs="Times New Roman"/>
          <w:kern w:val="2"/>
          <w:sz w:val="21"/>
          <w:szCs w:val="20"/>
          <w:u w:val="single"/>
          <w:lang w:val="en-US" w:eastAsia="zh-CN"/>
        </w:rPr>
        <w:t xml:space="preserve">    </w:t>
      </w:r>
      <w:r>
        <w:rPr>
          <w:rFonts w:hint="eastAsia" w:ascii="Times New Roman" w:hAnsi="Times New Roman" w:cs="Times New Roman"/>
          <w:kern w:val="2"/>
          <w:sz w:val="28"/>
          <w:szCs w:val="24"/>
          <w:u w:val="none"/>
          <w:lang w:eastAsia="zh-CN"/>
        </w:rPr>
        <w:t>）</w:t>
      </w:r>
    </w:p>
    <w:tbl>
      <w:tblPr>
        <w:tblStyle w:val="9"/>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399"/>
        <w:gridCol w:w="980"/>
        <w:gridCol w:w="2138"/>
        <w:gridCol w:w="155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6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center"/>
              <w:textAlignment w:val="center"/>
              <w:outlineLvl w:val="9"/>
              <w:rPr>
                <w:rFonts w:hint="default" w:ascii="宋体" w:hAnsi="宋体" w:eastAsia="宋体"/>
                <w:b w:val="0"/>
                <w:bCs/>
                <w:i w:val="0"/>
                <w:snapToGrid/>
                <w:color w:val="000000"/>
                <w:sz w:val="24"/>
                <w:szCs w:val="24"/>
                <w:u w:val="none"/>
                <w:lang w:eastAsia="zh-CN"/>
              </w:rPr>
            </w:pPr>
            <w:r>
              <w:rPr>
                <w:rFonts w:hint="eastAsia" w:ascii="宋体" w:hAnsi="宋体"/>
                <w:b w:val="0"/>
                <w:bCs/>
                <w:i w:val="0"/>
                <w:snapToGrid/>
                <w:color w:val="000000"/>
                <w:sz w:val="24"/>
                <w:szCs w:val="24"/>
                <w:u w:val="none"/>
                <w:lang w:eastAsia="zh-CN"/>
              </w:rPr>
              <w:t>序号</w:t>
            </w:r>
          </w:p>
        </w:tc>
        <w:tc>
          <w:tcPr>
            <w:tcW w:w="3399"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center"/>
              <w:textAlignment w:val="center"/>
              <w:outlineLvl w:val="9"/>
              <w:rPr>
                <w:sz w:val="24"/>
                <w:szCs w:val="24"/>
              </w:rPr>
            </w:pPr>
            <w:r>
              <w:rPr>
                <w:rFonts w:hint="default" w:ascii="宋体" w:hAnsi="宋体" w:eastAsia="宋体"/>
                <w:b w:val="0"/>
                <w:bCs/>
                <w:i w:val="0"/>
                <w:snapToGrid/>
                <w:color w:val="000000"/>
                <w:sz w:val="24"/>
                <w:szCs w:val="24"/>
                <w:u w:val="none"/>
                <w:lang w:eastAsia="zh-CN"/>
              </w:rPr>
              <w:t>项目</w:t>
            </w:r>
          </w:p>
        </w:tc>
        <w:tc>
          <w:tcPr>
            <w:tcW w:w="98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center"/>
              <w:textAlignment w:val="center"/>
              <w:outlineLvl w:val="9"/>
              <w:rPr>
                <w:sz w:val="24"/>
                <w:szCs w:val="24"/>
              </w:rPr>
            </w:pPr>
            <w:r>
              <w:rPr>
                <w:rFonts w:hint="default" w:ascii="宋体" w:hAnsi="宋体" w:eastAsia="宋体"/>
                <w:b w:val="0"/>
                <w:bCs/>
                <w:i w:val="0"/>
                <w:snapToGrid/>
                <w:color w:val="000000"/>
                <w:sz w:val="24"/>
                <w:szCs w:val="24"/>
                <w:u w:val="none"/>
                <w:lang w:eastAsia="zh-CN"/>
              </w:rPr>
              <w:t>车型</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结算方式</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单价  </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761" w:type="dxa"/>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eastAsia="宋体" w:cs="宋体"/>
                <w:b w:val="0"/>
                <w:bCs/>
                <w:kern w:val="0"/>
                <w:sz w:val="24"/>
                <w:szCs w:val="24"/>
                <w:lang w:val="en-US" w:eastAsia="zh-CN" w:bidi="ar"/>
              </w:rPr>
            </w:pPr>
            <w:r>
              <w:rPr>
                <w:rFonts w:hint="eastAsia" w:ascii="宋体" w:hAnsi="宋体" w:cs="宋体"/>
                <w:b w:val="0"/>
                <w:bCs/>
                <w:kern w:val="0"/>
                <w:sz w:val="24"/>
                <w:szCs w:val="24"/>
                <w:lang w:val="en-US" w:eastAsia="zh-CN" w:bidi="ar"/>
              </w:rPr>
              <w:t>1</w:t>
            </w:r>
          </w:p>
        </w:tc>
        <w:tc>
          <w:tcPr>
            <w:tcW w:w="339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firstLine="480" w:firstLineChars="200"/>
              <w:jc w:val="both"/>
              <w:textAlignment w:val="center"/>
              <w:outlineLvl w:val="9"/>
              <w:rPr>
                <w:sz w:val="24"/>
                <w:szCs w:val="24"/>
              </w:rPr>
            </w:pPr>
            <w:r>
              <w:rPr>
                <w:rFonts w:hint="eastAsia"/>
                <w:sz w:val="24"/>
                <w:szCs w:val="24"/>
              </w:rPr>
              <w:t>轧钢部下线盘条倒运至运输部成品库房（含临时堆存场地），临时用车；运输部成品工段盘条装汽车、装火车倒运、移库倒垛和倒运废钢。</w:t>
            </w:r>
          </w:p>
        </w:tc>
        <w:tc>
          <w:tcPr>
            <w:tcW w:w="980" w:type="dxa"/>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叉车</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sz w:val="24"/>
                <w:szCs w:val="24"/>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val="en-US" w:eastAsia="zh-CN" w:bidi="ar"/>
              </w:rPr>
              <w:t>结算费用=倒运量*单价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eastAsia="宋体" w:cs="宋体"/>
                <w:b w:val="0"/>
                <w:bCs/>
                <w:kern w:val="0"/>
                <w:sz w:val="24"/>
                <w:szCs w:val="24"/>
                <w:lang w:val="en-US" w:eastAsia="zh-CN" w:bidi="ar"/>
              </w:rPr>
            </w:pPr>
            <w:r>
              <w:rPr>
                <w:rFonts w:hint="eastAsia" w:ascii="宋体" w:hAnsi="宋体" w:cs="宋体"/>
                <w:b w:val="0"/>
                <w:bCs/>
                <w:kern w:val="0"/>
                <w:sz w:val="24"/>
                <w:szCs w:val="24"/>
                <w:lang w:val="en-US" w:eastAsia="zh-CN" w:bidi="ar"/>
              </w:rPr>
              <w:t>约24.5万吨/月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right"/>
              <w:textAlignment w:val="auto"/>
              <w:outlineLvl w:val="9"/>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元/吨</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2</w:t>
            </w:r>
          </w:p>
        </w:tc>
        <w:tc>
          <w:tcPr>
            <w:tcW w:w="33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集港作业</w:t>
            </w:r>
          </w:p>
        </w:tc>
        <w:tc>
          <w:tcPr>
            <w:tcW w:w="980"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sz w:val="24"/>
                <w:szCs w:val="24"/>
              </w:rPr>
            </w:pPr>
            <w:r>
              <w:rPr>
                <w:rFonts w:hint="eastAsia" w:ascii="宋体" w:hAnsi="宋体" w:eastAsia="宋体" w:cs="宋体"/>
                <w:i w:val="0"/>
                <w:color w:val="000000"/>
                <w:kern w:val="0"/>
                <w:sz w:val="24"/>
                <w:szCs w:val="24"/>
                <w:u w:val="none"/>
                <w:lang w:val="en-US" w:eastAsia="zh-CN" w:bidi="ar"/>
              </w:rPr>
              <w:t>6吨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叉车</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cs="宋体"/>
                <w:b w:val="0"/>
                <w:bCs/>
                <w:kern w:val="0"/>
                <w:sz w:val="24"/>
                <w:szCs w:val="24"/>
                <w:lang w:val="en-US" w:eastAsia="zh-CN" w:bidi="ar"/>
              </w:rPr>
            </w:pPr>
            <w:r>
              <w:rPr>
                <w:rFonts w:hint="eastAsia" w:ascii="宋体" w:hAnsi="宋体" w:cs="宋体"/>
                <w:b w:val="0"/>
                <w:bCs/>
                <w:kern w:val="0"/>
                <w:sz w:val="24"/>
                <w:szCs w:val="24"/>
                <w:lang w:val="en-US" w:eastAsia="zh-CN" w:bidi="ar"/>
              </w:rPr>
              <w:t>结算费用=倒运量*单价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cs="宋体"/>
                <w:b w:val="0"/>
                <w:bCs/>
                <w:kern w:val="0"/>
                <w:sz w:val="24"/>
                <w:szCs w:val="24"/>
                <w:lang w:val="en-US" w:eastAsia="zh-CN" w:bidi="ar"/>
              </w:rPr>
            </w:pPr>
            <w:r>
              <w:rPr>
                <w:rFonts w:hint="eastAsia" w:ascii="宋体" w:hAnsi="宋体" w:cs="宋体"/>
                <w:b w:val="0"/>
                <w:bCs/>
                <w:kern w:val="0"/>
                <w:sz w:val="24"/>
                <w:szCs w:val="24"/>
                <w:lang w:val="en-US" w:eastAsia="zh-CN" w:bidi="ar"/>
              </w:rPr>
              <w:t>约2400吨/月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right"/>
              <w:textAlignment w:val="auto"/>
              <w:outlineLvl w:val="9"/>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元/吨</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cs="宋体"/>
                <w:kern w:val="0"/>
                <w:sz w:val="24"/>
                <w:szCs w:val="24"/>
                <w:lang w:val="en-US" w:eastAsia="zh-CN" w:bidi="ar"/>
              </w:rPr>
            </w:pPr>
          </w:p>
        </w:tc>
        <w:tc>
          <w:tcPr>
            <w:tcW w:w="33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cs="宋体"/>
                <w:kern w:val="0"/>
                <w:sz w:val="24"/>
                <w:szCs w:val="24"/>
                <w:lang w:val="en-US" w:eastAsia="zh-CN" w:bidi="ar"/>
              </w:rPr>
            </w:pPr>
          </w:p>
        </w:tc>
        <w:tc>
          <w:tcPr>
            <w:tcW w:w="980"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宋体" w:hAnsi="宋体" w:cs="宋体"/>
                <w:b w:val="0"/>
                <w:bCs/>
                <w:kern w:val="0"/>
                <w:sz w:val="24"/>
                <w:szCs w:val="24"/>
                <w:lang w:val="en-US" w:eastAsia="zh-CN" w:bidi="ar"/>
              </w:rPr>
            </w:pPr>
            <w:r>
              <w:rPr>
                <w:rFonts w:hint="eastAsia" w:ascii="宋体" w:hAnsi="宋体" w:cs="宋体"/>
                <w:b w:val="0"/>
                <w:bCs/>
                <w:kern w:val="0"/>
                <w:sz w:val="24"/>
                <w:szCs w:val="24"/>
                <w:lang w:val="en-US" w:eastAsia="zh-CN" w:bidi="ar"/>
              </w:rPr>
              <w:t>总计：</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sz w:val="24"/>
                <w:szCs w:val="24"/>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备注：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80" w:firstLineChars="20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1、入库倒运量依据公司报表高线车间生产量，装汽车发运、装火车倒运量依据公司报表发运数据，其他作业倒运量根据倒运盘螺盘圆的理论吨位结算。</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default" w:ascii="宋体" w:hAnsi="宋体" w:cs="宋体"/>
          <w:color w:val="000000"/>
          <w:lang w:val="en-US" w:eastAsia="zh-CN"/>
        </w:rPr>
      </w:pPr>
      <w:r>
        <w:rPr>
          <w:rFonts w:hint="eastAsia" w:ascii="宋体" w:hAnsi="宋体" w:cs="宋体"/>
          <w:b w:val="0"/>
          <w:bCs w:val="0"/>
          <w:sz w:val="24"/>
          <w:szCs w:val="24"/>
          <w:lang w:val="en-US" w:eastAsia="zh-CN"/>
        </w:rPr>
        <w:t>2、集港作业倒运量依据公司报表。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eastAsia="zh-CN"/>
        </w:rPr>
        <w:t>单位：</w:t>
      </w:r>
      <w:r>
        <w:rPr>
          <w:rFonts w:hint="eastAsia" w:ascii="宋体" w:hAnsi="宋体" w:eastAsia="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日期：</w:t>
      </w: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25</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3F43CFD"/>
    <w:rsid w:val="055D2EB0"/>
    <w:rsid w:val="0C333A20"/>
    <w:rsid w:val="0C460FFE"/>
    <w:rsid w:val="10772EB5"/>
    <w:rsid w:val="11DE5603"/>
    <w:rsid w:val="13BA318B"/>
    <w:rsid w:val="152B2857"/>
    <w:rsid w:val="16AA6B17"/>
    <w:rsid w:val="1C1D6140"/>
    <w:rsid w:val="1C28711D"/>
    <w:rsid w:val="1F415A0F"/>
    <w:rsid w:val="1FC61767"/>
    <w:rsid w:val="234F5E22"/>
    <w:rsid w:val="23F27268"/>
    <w:rsid w:val="252D19D6"/>
    <w:rsid w:val="25A87FB8"/>
    <w:rsid w:val="25F13BFC"/>
    <w:rsid w:val="26BC6801"/>
    <w:rsid w:val="2D230D73"/>
    <w:rsid w:val="2DFD089F"/>
    <w:rsid w:val="2E34761D"/>
    <w:rsid w:val="30033579"/>
    <w:rsid w:val="32216798"/>
    <w:rsid w:val="323F2693"/>
    <w:rsid w:val="34FF5DC8"/>
    <w:rsid w:val="390D4485"/>
    <w:rsid w:val="3A4B4F63"/>
    <w:rsid w:val="3C09736A"/>
    <w:rsid w:val="3F114200"/>
    <w:rsid w:val="41417945"/>
    <w:rsid w:val="41DB42F4"/>
    <w:rsid w:val="454E4D64"/>
    <w:rsid w:val="46F31726"/>
    <w:rsid w:val="476201D7"/>
    <w:rsid w:val="4C62699D"/>
    <w:rsid w:val="513C3EF8"/>
    <w:rsid w:val="52904EC4"/>
    <w:rsid w:val="53D27EE3"/>
    <w:rsid w:val="556B3A6A"/>
    <w:rsid w:val="584B20E6"/>
    <w:rsid w:val="589B3C10"/>
    <w:rsid w:val="594C0BD6"/>
    <w:rsid w:val="5B2D6E0C"/>
    <w:rsid w:val="5DA113C7"/>
    <w:rsid w:val="5DA500D7"/>
    <w:rsid w:val="5F7A65EB"/>
    <w:rsid w:val="603E0EA5"/>
    <w:rsid w:val="607D1710"/>
    <w:rsid w:val="62CA5CF7"/>
    <w:rsid w:val="6D663618"/>
    <w:rsid w:val="71CE0F14"/>
    <w:rsid w:val="72735945"/>
    <w:rsid w:val="737502D4"/>
    <w:rsid w:val="74965A4A"/>
    <w:rsid w:val="76892D68"/>
    <w:rsid w:val="77140B96"/>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2021-05-25T02:49:58Z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9810F037509D4CBD9CAF2585310DCE3B</vt:lpwstr>
  </property>
</Properties>
</file>