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棒材钢坯倒运、轧废氧化皮倒运等项目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12</w:t>
      </w:r>
      <w:r>
        <w:rPr>
          <w:rFonts w:ascii="宋体" w:hAnsi="宋体"/>
          <w:color w:val="000000"/>
        </w:rPr>
        <w:t>月</w:t>
      </w:r>
      <w:r>
        <w:rPr>
          <w:rFonts w:hint="eastAsia" w:ascii="宋体" w:hAnsi="宋体"/>
          <w:color w:val="000000"/>
          <w:lang w:val="en-US" w:eastAsia="zh-CN"/>
        </w:rPr>
        <w:t>17</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YSQC202012026BCGPDYZFYHTPDY</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棒材钢坯倒运、轧废氧化皮倒运等项目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分三个标段：</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一、倒运棒材钢坯等项目：</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轧钢部倒运棒材、钢坯等，需2部13米平板车。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小棒生产线成品钢材倒运至钢材库及临时存放点、移库作业等，需3-4部使13米平板车）；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厂内临时用车，需13米平板车。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二、轧废氧化皮倒运等项目：</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轧钢部轧废和氧化铁皮倒运至指定事业部。</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由轧钢部根据需要临时安排的内部零星等倒运。</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共需要三轴或四轴自卸车2辆。</w:t>
      </w:r>
    </w:p>
    <w:p>
      <w:pPr>
        <w:spacing w:line="300" w:lineRule="auto"/>
        <w:ind w:firstLine="600"/>
        <w:rPr>
          <w:rFonts w:hint="default" w:ascii="宋体" w:hAnsi="宋体"/>
          <w:b w:val="0"/>
          <w:bCs/>
          <w:color w:val="auto"/>
          <w:lang w:val="en-US" w:eastAsia="zh-CN"/>
        </w:rPr>
      </w:pPr>
      <w:r>
        <w:rPr>
          <w:rFonts w:hint="eastAsia" w:ascii="宋体" w:hAnsi="宋体"/>
          <w:b w:val="0"/>
          <w:bCs/>
          <w:color w:val="auto"/>
          <w:lang w:val="en-US" w:eastAsia="zh-CN"/>
        </w:rPr>
        <w:t>三、废钢坯、中包块、备品备件倒运及零星倒运，需要1部9.6米平板；</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23</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 xml:space="preserve">25 </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lang w:val="en-US" w:eastAsia="zh-CN"/>
        </w:rPr>
        <w:t>23</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2、承揽单位必须具备24小时承揽服务能力，配备足够作业人员，合理安排班次，作业人员不得疲劳作业，班次调整时不得连续24小时作业；作业人员须持有国家相关部门核发的有效证件。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3、承揽单位需</w:t>
      </w:r>
      <w:r>
        <w:rPr>
          <w:rFonts w:hint="eastAsia" w:ascii="宋体" w:hAnsi="宋体" w:cs="宋体"/>
          <w:color w:val="auto"/>
          <w:sz w:val="24"/>
          <w:szCs w:val="24"/>
          <w:lang w:val="en-US" w:eastAsia="zh-CN"/>
        </w:rPr>
        <w:t>具有</w:t>
      </w:r>
      <w:bookmarkStart w:id="0" w:name="_GoBack"/>
      <w:bookmarkEnd w:id="0"/>
      <w:r>
        <w:rPr>
          <w:rFonts w:hint="eastAsia" w:ascii="宋体" w:hAnsi="宋体" w:eastAsia="宋体" w:cs="宋体"/>
          <w:color w:val="auto"/>
          <w:sz w:val="24"/>
          <w:szCs w:val="24"/>
          <w:lang w:val="en-US" w:eastAsia="zh-CN"/>
        </w:rPr>
        <w:t>道路运输许可证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车辆须符合法律法规要求、符合公司车辆管理要求，定期做好车辆检维修工作，报废车辆一律不得进厂。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4、承揽单位可根据生产情况合理安排作业车辆，但必须经过用车部门同意。</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6、承揽单位履约前应准备好车辆、作业人员，所有作业人员需接受用车部门安全培训、业务培训后方可上岗，履行合同。</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7、合同期：2021年1月29日履行至2021年6月27日。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tabs>
          <w:tab w:val="left" w:pos="420"/>
          <w:tab w:val="left" w:pos="630"/>
        </w:tabs>
        <w:spacing w:line="24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报价表</w:t>
      </w:r>
    </w:p>
    <w:p>
      <w:pPr>
        <w:tabs>
          <w:tab w:val="left" w:pos="420"/>
          <w:tab w:val="left" w:pos="630"/>
        </w:tabs>
        <w:spacing w:line="240" w:lineRule="auto"/>
        <w:jc w:val="center"/>
        <w:rPr>
          <w:rFonts w:hint="eastAsia" w:ascii="宋体" w:hAnsi="宋体" w:eastAsia="宋体" w:cs="宋体"/>
          <w:sz w:val="21"/>
          <w:szCs w:val="21"/>
          <w:u w:val="none"/>
          <w:lang w:eastAsia="zh-CN"/>
        </w:rPr>
      </w:pPr>
      <w:r>
        <w:rPr>
          <w:rFonts w:hint="eastAsia"/>
          <w:sz w:val="21"/>
          <w:szCs w:val="20"/>
          <w:lang w:eastAsia="zh-CN"/>
        </w:rPr>
        <w:t>不含税</w:t>
      </w:r>
      <w:r>
        <w:rPr>
          <w:rFonts w:hint="eastAsia" w:ascii="宋体" w:hAnsi="宋体" w:eastAsia="宋体" w:cs="宋体"/>
          <w:sz w:val="21"/>
          <w:szCs w:val="21"/>
          <w:u w:val="none"/>
          <w:lang w:eastAsia="zh-CN"/>
        </w:rPr>
        <w:t>报价（适用税率</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none"/>
          <w:lang w:eastAsia="zh-CN"/>
        </w:rPr>
        <w:t>）</w:t>
      </w:r>
    </w:p>
    <w:tbl>
      <w:tblPr>
        <w:tblStyle w:val="9"/>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53"/>
        <w:gridCol w:w="1256"/>
        <w:gridCol w:w="3277"/>
        <w:gridCol w:w="109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标段</w:t>
            </w:r>
          </w:p>
        </w:tc>
        <w:tc>
          <w:tcPr>
            <w:tcW w:w="2453"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作业内容</w:t>
            </w:r>
          </w:p>
        </w:tc>
        <w:tc>
          <w:tcPr>
            <w:tcW w:w="1256"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车型</w:t>
            </w:r>
          </w:p>
        </w:tc>
        <w:tc>
          <w:tcPr>
            <w:tcW w:w="3277"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结算方式</w:t>
            </w:r>
          </w:p>
        </w:tc>
        <w:tc>
          <w:tcPr>
            <w:tcW w:w="1094"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单价</w:t>
            </w:r>
            <w:r>
              <w:rPr>
                <w:rFonts w:hint="eastAsia" w:ascii="宋体" w:hAnsi="宋体" w:eastAsia="宋体" w:cs="宋体"/>
                <w:sz w:val="21"/>
                <w:szCs w:val="21"/>
                <w:vertAlign w:val="baseline"/>
                <w:lang w:val="en-US" w:eastAsia="zh-CN"/>
              </w:rPr>
              <w:t xml:space="preserve">    </w:t>
            </w:r>
          </w:p>
        </w:tc>
        <w:tc>
          <w:tcPr>
            <w:tcW w:w="1407" w:type="dxa"/>
            <w:vAlign w:val="center"/>
          </w:tcPr>
          <w:p>
            <w:pPr>
              <w:widowControl w:val="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3" w:type="dxa"/>
            <w:vMerge w:val="restart"/>
            <w:vAlign w:val="center"/>
          </w:tcPr>
          <w:p>
            <w:pPr>
              <w:widowControl w:val="0"/>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2453" w:type="dxa"/>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lang w:val="en-US" w:eastAsia="zh-CN"/>
              </w:rPr>
              <w:t>轧钢部倒运棒材、钢坯等</w:t>
            </w:r>
          </w:p>
        </w:tc>
        <w:tc>
          <w:tcPr>
            <w:tcW w:w="1256" w:type="dxa"/>
            <w:vAlign w:val="center"/>
          </w:tcPr>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13米平板车</w:t>
            </w:r>
          </w:p>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auto"/>
                <w:sz w:val="21"/>
                <w:szCs w:val="21"/>
                <w:vertAlign w:val="baseline"/>
                <w:lang w:val="en-US" w:eastAsia="zh-CN"/>
              </w:rPr>
              <w:t>（</w:t>
            </w:r>
            <w:r>
              <w:rPr>
                <w:rFonts w:hint="eastAsia" w:ascii="宋体" w:hAnsi="宋体" w:cs="宋体"/>
                <w:color w:val="FF0000"/>
                <w:sz w:val="21"/>
                <w:szCs w:val="21"/>
                <w:vertAlign w:val="baseline"/>
                <w:lang w:val="en-US" w:eastAsia="zh-CN"/>
              </w:rPr>
              <w:t>2辆</w:t>
            </w:r>
            <w:r>
              <w:rPr>
                <w:rFonts w:hint="eastAsia" w:ascii="宋体" w:hAnsi="宋体" w:cs="宋体"/>
                <w:color w:val="auto"/>
                <w:sz w:val="21"/>
                <w:szCs w:val="21"/>
                <w:vertAlign w:val="baseline"/>
                <w:lang w:val="en-US" w:eastAsia="zh-CN"/>
              </w:rPr>
              <w:t>）</w:t>
            </w:r>
          </w:p>
        </w:tc>
        <w:tc>
          <w:tcPr>
            <w:tcW w:w="3277" w:type="dxa"/>
            <w:vAlign w:val="center"/>
          </w:tcPr>
          <w:p>
            <w:pPr>
              <w:widowControl w:val="0"/>
              <w:jc w:val="center"/>
              <w:rPr>
                <w:rFonts w:hint="eastAsia" w:ascii="宋体" w:hAnsi="宋体" w:eastAsia="宋体" w:cs="宋体"/>
                <w:b w:val="0"/>
                <w:i w:val="0"/>
                <w:color w:val="auto"/>
                <w:sz w:val="21"/>
                <w:szCs w:val="21"/>
              </w:rPr>
            </w:pPr>
            <w:r>
              <w:rPr>
                <w:rFonts w:hint="eastAsia" w:ascii="宋体" w:hAnsi="宋体" w:cs="宋体"/>
                <w:b w:val="0"/>
                <w:i w:val="0"/>
                <w:color w:val="auto"/>
                <w:sz w:val="21"/>
                <w:szCs w:val="21"/>
                <w:lang w:eastAsia="zh-CN"/>
              </w:rPr>
              <w:t>结算</w:t>
            </w:r>
            <w:r>
              <w:rPr>
                <w:rFonts w:hint="eastAsia" w:ascii="宋体" w:hAnsi="宋体" w:eastAsia="宋体" w:cs="宋体"/>
                <w:b w:val="0"/>
                <w:i w:val="0"/>
                <w:color w:val="auto"/>
                <w:sz w:val="21"/>
                <w:szCs w:val="21"/>
              </w:rPr>
              <w:t>费用=</w:t>
            </w:r>
            <w:r>
              <w:rPr>
                <w:rFonts w:hint="eastAsia" w:ascii="宋体" w:hAnsi="宋体" w:cs="宋体"/>
                <w:b w:val="0"/>
                <w:i w:val="0"/>
                <w:color w:val="auto"/>
                <w:sz w:val="21"/>
                <w:szCs w:val="21"/>
                <w:lang w:eastAsia="zh-CN"/>
              </w:rPr>
              <w:t>倒运吨位</w:t>
            </w:r>
            <w:r>
              <w:rPr>
                <w:rFonts w:hint="eastAsia" w:ascii="宋体" w:hAnsi="宋体" w:eastAsia="宋体" w:cs="宋体"/>
                <w:b w:val="0"/>
                <w:i w:val="0"/>
                <w:color w:val="auto"/>
                <w:sz w:val="21"/>
                <w:szCs w:val="21"/>
              </w:rPr>
              <w:t>*单价</w:t>
            </w:r>
          </w:p>
          <w:p>
            <w:pPr>
              <w:widowControl w:val="0"/>
              <w:jc w:val="center"/>
              <w:rPr>
                <w:rFonts w:hint="default"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eastAsia="zh-CN"/>
              </w:rPr>
              <w:t>月均</w:t>
            </w:r>
            <w:r>
              <w:rPr>
                <w:rFonts w:hint="eastAsia" w:ascii="宋体" w:hAnsi="宋体" w:cs="宋体"/>
                <w:b w:val="0"/>
                <w:i w:val="0"/>
                <w:color w:val="auto"/>
                <w:sz w:val="21"/>
                <w:szCs w:val="21"/>
                <w:lang w:val="en-US" w:eastAsia="zh-CN"/>
              </w:rPr>
              <w:t>约1.6万</w:t>
            </w:r>
            <w:r>
              <w:rPr>
                <w:rFonts w:hint="eastAsia" w:ascii="宋体" w:hAnsi="宋体" w:eastAsia="宋体" w:cs="宋体"/>
                <w:b w:val="0"/>
                <w:i w:val="0"/>
                <w:color w:val="auto"/>
                <w:sz w:val="21"/>
                <w:szCs w:val="21"/>
                <w:lang w:val="en-US" w:eastAsia="zh-CN"/>
              </w:rPr>
              <w:t>吨</w:t>
            </w:r>
          </w:p>
        </w:tc>
        <w:tc>
          <w:tcPr>
            <w:tcW w:w="1094" w:type="dxa"/>
            <w:vMerge w:val="restart"/>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元</w:t>
            </w:r>
            <w:r>
              <w:rPr>
                <w:rFonts w:hint="eastAsia" w:ascii="宋体" w:hAnsi="宋体" w:eastAsia="宋体" w:cs="宋体"/>
                <w:sz w:val="21"/>
                <w:szCs w:val="21"/>
                <w:vertAlign w:val="baseline"/>
                <w:lang w:val="en-US" w:eastAsia="zh-CN"/>
              </w:rPr>
              <w:t>/吨</w:t>
            </w:r>
          </w:p>
        </w:tc>
        <w:tc>
          <w:tcPr>
            <w:tcW w:w="1407" w:type="dxa"/>
            <w:vAlign w:val="center"/>
          </w:tcPr>
          <w:p>
            <w:pPr>
              <w:widowControl w:val="0"/>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3" w:type="dxa"/>
            <w:vMerge w:val="continue"/>
            <w:vAlign w:val="center"/>
          </w:tcPr>
          <w:p>
            <w:pPr>
              <w:widowControl w:val="0"/>
              <w:jc w:val="center"/>
              <w:rPr>
                <w:rFonts w:hint="eastAsia" w:ascii="宋体" w:hAnsi="宋体" w:cs="宋体"/>
                <w:sz w:val="21"/>
                <w:szCs w:val="21"/>
                <w:lang w:val="en-US" w:eastAsia="zh-CN"/>
              </w:rPr>
            </w:pPr>
          </w:p>
        </w:tc>
        <w:tc>
          <w:tcPr>
            <w:tcW w:w="2453" w:type="dxa"/>
            <w:vAlign w:val="center"/>
          </w:tcPr>
          <w:p>
            <w:pPr>
              <w:widowControl w:val="0"/>
              <w:jc w:val="center"/>
              <w:rPr>
                <w:rFonts w:hint="eastAsia" w:ascii="宋体" w:hAnsi="宋体" w:cs="宋体"/>
                <w:sz w:val="21"/>
                <w:szCs w:val="21"/>
                <w:lang w:val="en-US" w:eastAsia="zh-CN"/>
              </w:rPr>
            </w:pPr>
            <w:r>
              <w:rPr>
                <w:rFonts w:hint="eastAsia" w:ascii="宋体" w:hAnsi="宋体" w:cs="宋体"/>
                <w:sz w:val="21"/>
                <w:szCs w:val="21"/>
                <w:lang w:val="en-US" w:eastAsia="zh-CN"/>
              </w:rPr>
              <w:t>小棒生产线成品钢材倒运至钢材库及临时存放点、移库作业等</w:t>
            </w:r>
          </w:p>
        </w:tc>
        <w:tc>
          <w:tcPr>
            <w:tcW w:w="1256" w:type="dxa"/>
            <w:vAlign w:val="center"/>
          </w:tcPr>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13米平板车</w:t>
            </w:r>
          </w:p>
          <w:p>
            <w:pPr>
              <w:widowControl w:val="0"/>
              <w:jc w:val="center"/>
              <w:rPr>
                <w:rFonts w:hint="eastAsia" w:ascii="宋体" w:hAnsi="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auto"/>
                <w:sz w:val="21"/>
                <w:szCs w:val="21"/>
                <w:vertAlign w:val="baseline"/>
                <w:lang w:val="en-US" w:eastAsia="zh-CN"/>
              </w:rPr>
              <w:t>（3-4辆）</w:t>
            </w:r>
          </w:p>
        </w:tc>
        <w:tc>
          <w:tcPr>
            <w:tcW w:w="3277" w:type="dxa"/>
            <w:vAlign w:val="center"/>
          </w:tcPr>
          <w:p>
            <w:pPr>
              <w:widowControl w:val="0"/>
              <w:jc w:val="center"/>
              <w:rPr>
                <w:rFonts w:hint="eastAsia" w:ascii="宋体" w:hAnsi="宋体" w:eastAsia="宋体" w:cs="宋体"/>
                <w:b w:val="0"/>
                <w:i w:val="0"/>
                <w:color w:val="auto"/>
                <w:sz w:val="21"/>
                <w:szCs w:val="21"/>
              </w:rPr>
            </w:pPr>
            <w:r>
              <w:rPr>
                <w:rFonts w:hint="eastAsia" w:ascii="宋体" w:hAnsi="宋体" w:cs="宋体"/>
                <w:b w:val="0"/>
                <w:i w:val="0"/>
                <w:color w:val="auto"/>
                <w:sz w:val="21"/>
                <w:szCs w:val="21"/>
                <w:lang w:eastAsia="zh-CN"/>
              </w:rPr>
              <w:t>结算</w:t>
            </w:r>
            <w:r>
              <w:rPr>
                <w:rFonts w:hint="eastAsia" w:ascii="宋体" w:hAnsi="宋体" w:eastAsia="宋体" w:cs="宋体"/>
                <w:b w:val="0"/>
                <w:i w:val="0"/>
                <w:color w:val="auto"/>
                <w:sz w:val="21"/>
                <w:szCs w:val="21"/>
              </w:rPr>
              <w:t>费用=</w:t>
            </w:r>
            <w:r>
              <w:rPr>
                <w:rFonts w:hint="eastAsia" w:ascii="宋体" w:hAnsi="宋体" w:cs="宋体"/>
                <w:b w:val="0"/>
                <w:i w:val="0"/>
                <w:color w:val="auto"/>
                <w:sz w:val="21"/>
                <w:szCs w:val="21"/>
                <w:lang w:eastAsia="zh-CN"/>
              </w:rPr>
              <w:t>倒运吨位</w:t>
            </w:r>
            <w:r>
              <w:rPr>
                <w:rFonts w:hint="eastAsia" w:ascii="宋体" w:hAnsi="宋体" w:eastAsia="宋体" w:cs="宋体"/>
                <w:b w:val="0"/>
                <w:i w:val="0"/>
                <w:color w:val="auto"/>
                <w:sz w:val="21"/>
                <w:szCs w:val="21"/>
              </w:rPr>
              <w:t>*单价</w:t>
            </w:r>
          </w:p>
          <w:p>
            <w:pPr>
              <w:widowControl w:val="0"/>
              <w:jc w:val="center"/>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月均</w:t>
            </w:r>
            <w:r>
              <w:rPr>
                <w:rFonts w:hint="eastAsia" w:ascii="宋体" w:hAnsi="宋体" w:cs="宋体"/>
                <w:b w:val="0"/>
                <w:i w:val="0"/>
                <w:color w:val="auto"/>
                <w:sz w:val="21"/>
                <w:szCs w:val="21"/>
                <w:lang w:val="en-US" w:eastAsia="zh-CN"/>
              </w:rPr>
              <w:t>约2.5万</w:t>
            </w:r>
            <w:r>
              <w:rPr>
                <w:rFonts w:hint="eastAsia" w:ascii="宋体" w:hAnsi="宋体" w:eastAsia="宋体" w:cs="宋体"/>
                <w:b w:val="0"/>
                <w:i w:val="0"/>
                <w:color w:val="auto"/>
                <w:sz w:val="21"/>
                <w:szCs w:val="21"/>
                <w:lang w:val="en-US" w:eastAsia="zh-CN"/>
              </w:rPr>
              <w:t>吨</w:t>
            </w:r>
            <w:r>
              <w:rPr>
                <w:rFonts w:hint="eastAsia" w:ascii="宋体" w:hAnsi="宋体" w:cs="宋体"/>
                <w:b w:val="0"/>
                <w:i w:val="0"/>
                <w:color w:val="auto"/>
                <w:sz w:val="21"/>
                <w:szCs w:val="21"/>
                <w:lang w:val="en-US" w:eastAsia="zh-CN"/>
              </w:rPr>
              <w:t>，</w:t>
            </w:r>
          </w:p>
        </w:tc>
        <w:tc>
          <w:tcPr>
            <w:tcW w:w="1094" w:type="dxa"/>
            <w:vMerge w:val="continue"/>
            <w:vAlign w:val="center"/>
          </w:tcPr>
          <w:p>
            <w:pPr>
              <w:widowControl w:val="0"/>
              <w:jc w:val="center"/>
              <w:rPr>
                <w:rFonts w:hint="eastAsia" w:ascii="宋体" w:hAnsi="宋体" w:eastAsia="宋体" w:cs="宋体"/>
                <w:sz w:val="21"/>
                <w:szCs w:val="21"/>
                <w:vertAlign w:val="baseline"/>
              </w:rPr>
            </w:pPr>
          </w:p>
        </w:tc>
        <w:tc>
          <w:tcPr>
            <w:tcW w:w="1407"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3" w:type="dxa"/>
            <w:vMerge w:val="continue"/>
            <w:vAlign w:val="center"/>
          </w:tcPr>
          <w:p>
            <w:pPr>
              <w:widowControl w:val="0"/>
              <w:jc w:val="center"/>
              <w:rPr>
                <w:rFonts w:hint="eastAsia" w:ascii="宋体" w:hAnsi="宋体" w:cs="宋体"/>
                <w:sz w:val="21"/>
                <w:szCs w:val="21"/>
                <w:lang w:val="en-US" w:eastAsia="zh-CN"/>
              </w:rPr>
            </w:pPr>
          </w:p>
        </w:tc>
        <w:tc>
          <w:tcPr>
            <w:tcW w:w="2453" w:type="dxa"/>
            <w:vAlign w:val="center"/>
          </w:tcPr>
          <w:p>
            <w:pPr>
              <w:widowControl w:val="0"/>
              <w:jc w:val="center"/>
              <w:rPr>
                <w:rFonts w:hint="eastAsia" w:ascii="宋体" w:hAnsi="宋体" w:cs="宋体"/>
                <w:sz w:val="21"/>
                <w:szCs w:val="21"/>
                <w:lang w:val="en-US" w:eastAsia="zh-CN"/>
              </w:rPr>
            </w:pPr>
            <w:r>
              <w:rPr>
                <w:rFonts w:hint="eastAsia" w:ascii="宋体" w:hAnsi="宋体" w:cs="宋体"/>
                <w:sz w:val="21"/>
                <w:szCs w:val="21"/>
                <w:lang w:val="en-US" w:eastAsia="zh-CN"/>
              </w:rPr>
              <w:t>厂内临时用车</w:t>
            </w:r>
          </w:p>
        </w:tc>
        <w:tc>
          <w:tcPr>
            <w:tcW w:w="1256" w:type="dxa"/>
            <w:vAlign w:val="center"/>
          </w:tcPr>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13米平板车</w:t>
            </w:r>
          </w:p>
          <w:p>
            <w:pPr>
              <w:widowControl w:val="0"/>
              <w:jc w:val="both"/>
              <w:rPr>
                <w:rFonts w:hint="eastAsia" w:ascii="宋体" w:hAnsi="宋体" w:cs="宋体"/>
                <w:color w:val="000000" w:themeColor="text1"/>
                <w:sz w:val="21"/>
                <w:szCs w:val="21"/>
                <w:vertAlign w:val="baseline"/>
                <w:lang w:eastAsia="zh-CN"/>
                <w14:textFill>
                  <w14:solidFill>
                    <w14:schemeClr w14:val="tx1"/>
                  </w14:solidFill>
                </w14:textFill>
              </w:rPr>
            </w:pPr>
          </w:p>
        </w:tc>
        <w:tc>
          <w:tcPr>
            <w:tcW w:w="3277" w:type="dxa"/>
            <w:vAlign w:val="center"/>
          </w:tcPr>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i w:val="0"/>
                <w:iCs w:val="0"/>
                <w:color w:val="auto"/>
                <w:sz w:val="21"/>
                <w:szCs w:val="21"/>
                <w:lang w:eastAsia="zh-CN"/>
              </w:rPr>
              <w:t>结算费用</w:t>
            </w:r>
            <w:r>
              <w:rPr>
                <w:rFonts w:hint="eastAsia" w:ascii="宋体" w:hAnsi="宋体" w:cs="宋体"/>
                <w:b w:val="0"/>
                <w:i w:val="0"/>
                <w:iCs w:val="0"/>
                <w:color w:val="auto"/>
                <w:sz w:val="21"/>
                <w:szCs w:val="21"/>
                <w:lang w:val="en-US" w:eastAsia="zh-CN"/>
              </w:rPr>
              <w:t>=使用时间*单价</w:t>
            </w:r>
          </w:p>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i w:val="0"/>
                <w:iCs w:val="0"/>
                <w:color w:val="auto"/>
                <w:sz w:val="21"/>
                <w:szCs w:val="21"/>
                <w:lang w:val="en-US" w:eastAsia="zh-CN"/>
              </w:rPr>
              <w:t>使用时间月均约100小时</w:t>
            </w:r>
          </w:p>
        </w:tc>
        <w:tc>
          <w:tcPr>
            <w:tcW w:w="1094" w:type="dxa"/>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元</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小时</w:t>
            </w:r>
          </w:p>
        </w:tc>
        <w:tc>
          <w:tcPr>
            <w:tcW w:w="1407"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432" w:type="dxa"/>
            <w:gridSpan w:val="3"/>
            <w:vAlign w:val="center"/>
          </w:tcPr>
          <w:p>
            <w:pPr>
              <w:widowControl w:val="0"/>
              <w:jc w:val="both"/>
              <w:rPr>
                <w:rFonts w:hint="eastAsia" w:ascii="宋体" w:hAnsi="宋体" w:cs="宋体"/>
                <w:b w:val="0"/>
                <w:bCs w:val="0"/>
                <w:color w:val="auto"/>
                <w:sz w:val="21"/>
                <w:szCs w:val="21"/>
                <w:vertAlign w:val="baseline"/>
                <w:lang w:eastAsia="zh-CN"/>
              </w:rPr>
            </w:pPr>
          </w:p>
        </w:tc>
        <w:tc>
          <w:tcPr>
            <w:tcW w:w="3277" w:type="dxa"/>
            <w:vAlign w:val="center"/>
          </w:tcPr>
          <w:p>
            <w:pPr>
              <w:widowControl w:val="0"/>
              <w:jc w:val="center"/>
              <w:rPr>
                <w:rFonts w:hint="default" w:ascii="宋体" w:hAnsi="宋体" w:cs="宋体"/>
                <w:b w:val="0"/>
                <w:bCs w:val="0"/>
                <w:i w:val="0"/>
                <w:color w:val="auto"/>
                <w:sz w:val="21"/>
                <w:szCs w:val="21"/>
                <w:lang w:val="en-US" w:eastAsia="zh-CN"/>
              </w:rPr>
            </w:pPr>
            <w:r>
              <w:rPr>
                <w:rFonts w:hint="eastAsia" w:ascii="宋体" w:hAnsi="宋体" w:cs="宋体"/>
                <w:b w:val="0"/>
                <w:bCs w:val="0"/>
                <w:i w:val="0"/>
                <w:color w:val="auto"/>
                <w:sz w:val="21"/>
                <w:szCs w:val="21"/>
                <w:lang w:val="en-US" w:eastAsia="zh-CN"/>
              </w:rPr>
              <w:t>合计：</w:t>
            </w:r>
          </w:p>
        </w:tc>
        <w:tc>
          <w:tcPr>
            <w:tcW w:w="1094"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w:t>
            </w:r>
          </w:p>
        </w:tc>
        <w:tc>
          <w:tcPr>
            <w:tcW w:w="1407"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3" w:type="dxa"/>
            <w:vMerge w:val="restart"/>
            <w:vAlign w:val="center"/>
          </w:tcPr>
          <w:p>
            <w:pPr>
              <w:widowControl w:val="0"/>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2453" w:type="dxa"/>
            <w:vAlign w:val="center"/>
          </w:tcPr>
          <w:p>
            <w:pPr>
              <w:widowControl w:val="0"/>
              <w:jc w:val="center"/>
              <w:rPr>
                <w:rFonts w:hint="eastAsia" w:ascii="宋体" w:hAnsi="宋体" w:cs="宋体"/>
                <w:sz w:val="21"/>
                <w:szCs w:val="21"/>
                <w:lang w:val="en-US" w:eastAsia="zh-CN"/>
              </w:rPr>
            </w:pPr>
            <w:r>
              <w:rPr>
                <w:rFonts w:hint="eastAsia" w:ascii="宋体" w:hAnsi="宋体" w:cs="宋体"/>
                <w:sz w:val="21"/>
                <w:szCs w:val="21"/>
                <w:lang w:eastAsia="zh-CN"/>
              </w:rPr>
              <w:t>轧钢部轧废和氧化铁皮倒运</w:t>
            </w:r>
          </w:p>
        </w:tc>
        <w:tc>
          <w:tcPr>
            <w:tcW w:w="1256" w:type="dxa"/>
            <w:vMerge w:val="restart"/>
            <w:vAlign w:val="center"/>
          </w:tcPr>
          <w:p>
            <w:pPr>
              <w:widowControl w:val="0"/>
              <w:jc w:val="both"/>
              <w:rPr>
                <w:rFonts w:hint="eastAsia" w:ascii="宋体" w:hAnsi="宋体" w:cs="宋体"/>
                <w:color w:val="000000" w:themeColor="text1"/>
                <w:sz w:val="21"/>
                <w:szCs w:val="21"/>
                <w:vertAlign w:val="baseline"/>
                <w:lang w:eastAsia="zh-CN"/>
                <w14:textFill>
                  <w14:solidFill>
                    <w14:schemeClr w14:val="tx1"/>
                  </w14:solidFill>
                </w14:textFill>
              </w:rPr>
            </w:pPr>
            <w:r>
              <w:rPr>
                <w:rFonts w:hint="eastAsia" w:ascii="宋体" w:hAnsi="宋体" w:cs="宋体"/>
                <w:b w:val="0"/>
                <w:bCs w:val="0"/>
                <w:color w:val="auto"/>
                <w:sz w:val="21"/>
                <w:szCs w:val="21"/>
                <w:vertAlign w:val="baseline"/>
                <w:lang w:eastAsia="zh-CN"/>
              </w:rPr>
              <w:t>三轴或四轴自卸车（</w:t>
            </w:r>
            <w:r>
              <w:rPr>
                <w:rFonts w:hint="eastAsia" w:ascii="宋体" w:hAnsi="宋体" w:cs="宋体"/>
                <w:b w:val="0"/>
                <w:bCs w:val="0"/>
                <w:color w:val="auto"/>
                <w:sz w:val="21"/>
                <w:szCs w:val="21"/>
                <w:vertAlign w:val="baseline"/>
                <w:lang w:val="en-US" w:eastAsia="zh-CN"/>
              </w:rPr>
              <w:t>2辆</w:t>
            </w:r>
            <w:r>
              <w:rPr>
                <w:rFonts w:hint="eastAsia" w:ascii="宋体" w:hAnsi="宋体" w:cs="宋体"/>
                <w:b w:val="0"/>
                <w:bCs w:val="0"/>
                <w:color w:val="auto"/>
                <w:sz w:val="21"/>
                <w:szCs w:val="21"/>
                <w:vertAlign w:val="baseline"/>
                <w:lang w:eastAsia="zh-CN"/>
              </w:rPr>
              <w:t>）</w:t>
            </w:r>
          </w:p>
        </w:tc>
        <w:tc>
          <w:tcPr>
            <w:tcW w:w="3277" w:type="dxa"/>
            <w:vAlign w:val="center"/>
          </w:tcPr>
          <w:p>
            <w:pPr>
              <w:widowControl w:val="0"/>
              <w:jc w:val="center"/>
              <w:rPr>
                <w:rFonts w:hint="eastAsia" w:ascii="宋体" w:hAnsi="宋体" w:eastAsia="宋体" w:cs="宋体"/>
                <w:b w:val="0"/>
                <w:bCs w:val="0"/>
                <w:i w:val="0"/>
                <w:color w:val="auto"/>
                <w:sz w:val="21"/>
                <w:szCs w:val="21"/>
              </w:rPr>
            </w:pPr>
            <w:r>
              <w:rPr>
                <w:rFonts w:hint="eastAsia" w:ascii="宋体" w:hAnsi="宋体" w:cs="宋体"/>
                <w:b w:val="0"/>
                <w:bCs w:val="0"/>
                <w:i w:val="0"/>
                <w:color w:val="auto"/>
                <w:sz w:val="21"/>
                <w:szCs w:val="21"/>
                <w:lang w:eastAsia="zh-CN"/>
              </w:rPr>
              <w:t>结算</w:t>
            </w:r>
            <w:r>
              <w:rPr>
                <w:rFonts w:hint="eastAsia" w:ascii="宋体" w:hAnsi="宋体" w:eastAsia="宋体" w:cs="宋体"/>
                <w:b w:val="0"/>
                <w:bCs w:val="0"/>
                <w:i w:val="0"/>
                <w:color w:val="auto"/>
                <w:sz w:val="21"/>
                <w:szCs w:val="21"/>
              </w:rPr>
              <w:t>费用=</w:t>
            </w:r>
            <w:r>
              <w:rPr>
                <w:rFonts w:hint="eastAsia" w:ascii="宋体" w:hAnsi="宋体" w:cs="宋体"/>
                <w:b w:val="0"/>
                <w:bCs w:val="0"/>
                <w:i w:val="0"/>
                <w:color w:val="auto"/>
                <w:sz w:val="21"/>
                <w:szCs w:val="21"/>
                <w:lang w:eastAsia="zh-CN"/>
              </w:rPr>
              <w:t>倒运吨位</w:t>
            </w:r>
            <w:r>
              <w:rPr>
                <w:rFonts w:hint="eastAsia" w:ascii="宋体" w:hAnsi="宋体" w:eastAsia="宋体" w:cs="宋体"/>
                <w:b w:val="0"/>
                <w:bCs w:val="0"/>
                <w:i w:val="0"/>
                <w:color w:val="auto"/>
                <w:sz w:val="21"/>
                <w:szCs w:val="21"/>
              </w:rPr>
              <w:t>*单价</w:t>
            </w:r>
          </w:p>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bCs w:val="0"/>
                <w:i w:val="0"/>
                <w:color w:val="auto"/>
                <w:sz w:val="21"/>
                <w:szCs w:val="21"/>
                <w:lang w:eastAsia="zh-CN"/>
              </w:rPr>
              <w:t>倒运量月均约</w:t>
            </w:r>
            <w:r>
              <w:rPr>
                <w:rFonts w:hint="eastAsia" w:ascii="宋体" w:hAnsi="宋体" w:cs="宋体"/>
                <w:b w:val="0"/>
                <w:bCs w:val="0"/>
                <w:i w:val="0"/>
                <w:color w:val="auto"/>
                <w:sz w:val="21"/>
                <w:szCs w:val="21"/>
                <w:lang w:val="en-US" w:eastAsia="zh-CN"/>
              </w:rPr>
              <w:t>7500吨</w:t>
            </w:r>
          </w:p>
        </w:tc>
        <w:tc>
          <w:tcPr>
            <w:tcW w:w="1094" w:type="dxa"/>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元</w:t>
            </w:r>
            <w:r>
              <w:rPr>
                <w:rFonts w:hint="eastAsia" w:ascii="宋体" w:hAnsi="宋体" w:eastAsia="宋体" w:cs="宋体"/>
                <w:sz w:val="21"/>
                <w:szCs w:val="21"/>
                <w:vertAlign w:val="baseline"/>
                <w:lang w:val="en-US" w:eastAsia="zh-CN"/>
              </w:rPr>
              <w:t>/吨</w:t>
            </w:r>
          </w:p>
        </w:tc>
        <w:tc>
          <w:tcPr>
            <w:tcW w:w="1407"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3" w:type="dxa"/>
            <w:vMerge w:val="continue"/>
            <w:vAlign w:val="center"/>
          </w:tcPr>
          <w:p>
            <w:pPr>
              <w:widowControl w:val="0"/>
              <w:jc w:val="center"/>
              <w:rPr>
                <w:rFonts w:hint="eastAsia" w:ascii="宋体" w:hAnsi="宋体" w:cs="宋体"/>
                <w:sz w:val="21"/>
                <w:szCs w:val="21"/>
                <w:lang w:val="en-US" w:eastAsia="zh-CN"/>
              </w:rPr>
            </w:pPr>
          </w:p>
        </w:tc>
        <w:tc>
          <w:tcPr>
            <w:tcW w:w="2453" w:type="dxa"/>
            <w:vAlign w:val="center"/>
          </w:tcPr>
          <w:p>
            <w:pPr>
              <w:widowControl w:val="0"/>
              <w:jc w:val="center"/>
              <w:rPr>
                <w:rFonts w:hint="eastAsia" w:ascii="宋体" w:hAnsi="宋体" w:cs="宋体"/>
                <w:sz w:val="21"/>
                <w:szCs w:val="21"/>
                <w:lang w:eastAsia="zh-CN"/>
              </w:rPr>
            </w:pPr>
            <w:r>
              <w:rPr>
                <w:rFonts w:hint="eastAsia" w:ascii="宋体" w:hAnsi="宋体" w:cs="宋体"/>
                <w:sz w:val="21"/>
                <w:szCs w:val="21"/>
                <w:lang w:eastAsia="zh-CN"/>
              </w:rPr>
              <w:t>零星短倒</w:t>
            </w:r>
          </w:p>
          <w:p>
            <w:pPr>
              <w:widowControl w:val="0"/>
              <w:jc w:val="center"/>
              <w:rPr>
                <w:rFonts w:hint="eastAsia" w:ascii="宋体" w:hAnsi="宋体" w:cs="宋体"/>
                <w:sz w:val="21"/>
                <w:szCs w:val="21"/>
                <w:lang w:val="en-US" w:eastAsia="zh-CN"/>
              </w:rPr>
            </w:pPr>
            <w:r>
              <w:rPr>
                <w:rFonts w:hint="eastAsia" w:ascii="宋体" w:hAnsi="宋体" w:cs="宋体"/>
                <w:sz w:val="21"/>
                <w:szCs w:val="21"/>
                <w:lang w:eastAsia="zh-CN"/>
              </w:rPr>
              <w:t>（由轧钢部根据需要临时安排）</w:t>
            </w:r>
          </w:p>
        </w:tc>
        <w:tc>
          <w:tcPr>
            <w:tcW w:w="1256" w:type="dxa"/>
            <w:vMerge w:val="continue"/>
            <w:vAlign w:val="center"/>
          </w:tcPr>
          <w:p>
            <w:pPr>
              <w:widowControl w:val="0"/>
              <w:jc w:val="center"/>
              <w:rPr>
                <w:rFonts w:hint="eastAsia" w:ascii="宋体" w:hAnsi="宋体" w:cs="宋体"/>
                <w:color w:val="000000" w:themeColor="text1"/>
                <w:sz w:val="21"/>
                <w:szCs w:val="21"/>
                <w:vertAlign w:val="baseline"/>
                <w:lang w:eastAsia="zh-CN"/>
                <w14:textFill>
                  <w14:solidFill>
                    <w14:schemeClr w14:val="tx1"/>
                  </w14:solidFill>
                </w14:textFill>
              </w:rPr>
            </w:pPr>
          </w:p>
        </w:tc>
        <w:tc>
          <w:tcPr>
            <w:tcW w:w="3277" w:type="dxa"/>
            <w:vAlign w:val="center"/>
          </w:tcPr>
          <w:p>
            <w:pPr>
              <w:widowControl w:val="0"/>
              <w:jc w:val="both"/>
              <w:rPr>
                <w:rFonts w:hint="eastAsia" w:ascii="宋体" w:hAnsi="宋体" w:cs="宋体"/>
                <w:b w:val="0"/>
                <w:bCs w:val="0"/>
                <w:i w:val="0"/>
                <w:color w:val="auto"/>
                <w:sz w:val="21"/>
                <w:szCs w:val="21"/>
                <w:lang w:val="en-US" w:eastAsia="zh-CN"/>
              </w:rPr>
            </w:pPr>
            <w:r>
              <w:rPr>
                <w:rFonts w:hint="eastAsia" w:ascii="宋体" w:hAnsi="宋体" w:cs="宋体"/>
                <w:b w:val="0"/>
                <w:bCs w:val="0"/>
                <w:i w:val="0"/>
                <w:color w:val="auto"/>
                <w:sz w:val="21"/>
                <w:szCs w:val="21"/>
                <w:lang w:eastAsia="zh-CN"/>
              </w:rPr>
              <w:t>结算费用</w:t>
            </w:r>
            <w:r>
              <w:rPr>
                <w:rFonts w:hint="eastAsia" w:ascii="宋体" w:hAnsi="宋体" w:cs="宋体"/>
                <w:b w:val="0"/>
                <w:bCs w:val="0"/>
                <w:i w:val="0"/>
                <w:color w:val="auto"/>
                <w:sz w:val="21"/>
                <w:szCs w:val="21"/>
                <w:lang w:val="en-US" w:eastAsia="zh-CN"/>
              </w:rPr>
              <w:t>=使用时间*单价</w:t>
            </w:r>
          </w:p>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bCs w:val="0"/>
                <w:i w:val="0"/>
                <w:color w:val="auto"/>
                <w:sz w:val="21"/>
                <w:szCs w:val="21"/>
                <w:lang w:val="en-US" w:eastAsia="zh-CN"/>
              </w:rPr>
              <w:t>月均约20小时</w:t>
            </w:r>
          </w:p>
        </w:tc>
        <w:tc>
          <w:tcPr>
            <w:tcW w:w="1094" w:type="dxa"/>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元</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小时</w:t>
            </w:r>
          </w:p>
        </w:tc>
        <w:tc>
          <w:tcPr>
            <w:tcW w:w="1407"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432" w:type="dxa"/>
            <w:gridSpan w:val="3"/>
            <w:vAlign w:val="center"/>
          </w:tcPr>
          <w:p>
            <w:pPr>
              <w:widowControl w:val="0"/>
              <w:jc w:val="both"/>
              <w:rPr>
                <w:rFonts w:hint="eastAsia" w:ascii="宋体" w:hAnsi="宋体" w:cs="宋体"/>
                <w:sz w:val="21"/>
                <w:szCs w:val="21"/>
                <w:lang w:val="en-US" w:eastAsia="zh-CN"/>
              </w:rPr>
            </w:pPr>
          </w:p>
        </w:tc>
        <w:tc>
          <w:tcPr>
            <w:tcW w:w="3277" w:type="dxa"/>
            <w:vAlign w:val="center"/>
          </w:tcPr>
          <w:p>
            <w:pPr>
              <w:widowControl w:val="0"/>
              <w:jc w:val="center"/>
              <w:rPr>
                <w:rFonts w:hint="eastAsia" w:ascii="宋体" w:hAnsi="宋体" w:cs="宋体"/>
                <w:b w:val="0"/>
                <w:bCs w:val="0"/>
                <w:i w:val="0"/>
                <w:color w:val="auto"/>
                <w:sz w:val="21"/>
                <w:szCs w:val="21"/>
                <w:lang w:eastAsia="zh-CN"/>
              </w:rPr>
            </w:pPr>
            <w:r>
              <w:rPr>
                <w:rFonts w:hint="eastAsia" w:ascii="宋体" w:hAnsi="宋体" w:cs="宋体"/>
                <w:b w:val="0"/>
                <w:bCs w:val="0"/>
                <w:i w:val="0"/>
                <w:color w:val="auto"/>
                <w:sz w:val="21"/>
                <w:szCs w:val="21"/>
                <w:lang w:val="en-US" w:eastAsia="zh-CN"/>
              </w:rPr>
              <w:t>合计：</w:t>
            </w:r>
          </w:p>
        </w:tc>
        <w:tc>
          <w:tcPr>
            <w:tcW w:w="1094"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w:t>
            </w:r>
          </w:p>
        </w:tc>
        <w:tc>
          <w:tcPr>
            <w:tcW w:w="1407"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23" w:type="dxa"/>
            <w:vAlign w:val="center"/>
          </w:tcPr>
          <w:p>
            <w:pPr>
              <w:widowControl w:val="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2453" w:type="dxa"/>
            <w:vAlign w:val="center"/>
          </w:tcPr>
          <w:p>
            <w:pPr>
              <w:widowControl w:val="0"/>
              <w:jc w:val="center"/>
              <w:rPr>
                <w:rFonts w:hint="eastAsia" w:ascii="宋体" w:hAnsi="宋体" w:cs="宋体"/>
                <w:sz w:val="21"/>
                <w:szCs w:val="21"/>
                <w:lang w:eastAsia="zh-CN"/>
              </w:rPr>
            </w:pPr>
            <w:r>
              <w:rPr>
                <w:rFonts w:hint="eastAsia" w:ascii="宋体" w:hAnsi="宋体" w:cs="宋体"/>
                <w:sz w:val="21"/>
                <w:szCs w:val="21"/>
                <w:lang w:eastAsia="zh-CN"/>
              </w:rPr>
              <w:t>废钢坯、中包块、备品备件倒运及零星倒运</w:t>
            </w:r>
          </w:p>
        </w:tc>
        <w:tc>
          <w:tcPr>
            <w:tcW w:w="1256" w:type="dxa"/>
            <w:vAlign w:val="center"/>
          </w:tcPr>
          <w:p>
            <w:pPr>
              <w:widowControl w:val="0"/>
              <w:ind w:left="210" w:hanging="210" w:hangingChars="100"/>
              <w:jc w:val="both"/>
              <w:rPr>
                <w:rFonts w:hint="eastAsia" w:ascii="宋体" w:hAnsi="宋体" w:cs="宋体"/>
                <w:color w:val="000000" w:themeColor="text1"/>
                <w:sz w:val="21"/>
                <w:szCs w:val="21"/>
                <w:vertAlign w:val="baseline"/>
                <w:lang w:eastAsia="zh-CN"/>
                <w14:textFill>
                  <w14:solidFill>
                    <w14:schemeClr w14:val="tx1"/>
                  </w14:solidFill>
                </w14:textFill>
              </w:rPr>
            </w:pPr>
            <w:r>
              <w:rPr>
                <w:rFonts w:hint="eastAsia" w:ascii="宋体" w:hAnsi="宋体" w:cs="宋体"/>
                <w:sz w:val="21"/>
                <w:szCs w:val="21"/>
                <w:lang w:val="en-US" w:eastAsia="zh-CN"/>
              </w:rPr>
              <w:t>1部9.6米 平板</w:t>
            </w:r>
          </w:p>
        </w:tc>
        <w:tc>
          <w:tcPr>
            <w:tcW w:w="3277" w:type="dxa"/>
            <w:vAlign w:val="center"/>
          </w:tcPr>
          <w:p>
            <w:pPr>
              <w:widowControl w:val="0"/>
              <w:jc w:val="center"/>
              <w:rPr>
                <w:rFonts w:hint="eastAsia" w:ascii="宋体" w:hAnsi="宋体" w:eastAsia="宋体" w:cs="宋体"/>
                <w:b w:val="0"/>
                <w:bCs w:val="0"/>
                <w:i w:val="0"/>
                <w:color w:val="auto"/>
                <w:sz w:val="21"/>
                <w:szCs w:val="21"/>
              </w:rPr>
            </w:pPr>
            <w:r>
              <w:rPr>
                <w:rFonts w:hint="eastAsia" w:ascii="宋体" w:hAnsi="宋体" w:cs="宋体"/>
                <w:b w:val="0"/>
                <w:bCs w:val="0"/>
                <w:i w:val="0"/>
                <w:color w:val="auto"/>
                <w:sz w:val="21"/>
                <w:szCs w:val="21"/>
                <w:lang w:eastAsia="zh-CN"/>
              </w:rPr>
              <w:t>结算</w:t>
            </w:r>
            <w:r>
              <w:rPr>
                <w:rFonts w:hint="eastAsia" w:ascii="宋体" w:hAnsi="宋体" w:eastAsia="宋体" w:cs="宋体"/>
                <w:b w:val="0"/>
                <w:bCs w:val="0"/>
                <w:i w:val="0"/>
                <w:color w:val="auto"/>
                <w:sz w:val="21"/>
                <w:szCs w:val="21"/>
              </w:rPr>
              <w:t>费用=</w:t>
            </w:r>
            <w:r>
              <w:rPr>
                <w:rFonts w:hint="eastAsia" w:ascii="宋体" w:hAnsi="宋体" w:cs="宋体"/>
                <w:b w:val="0"/>
                <w:bCs w:val="0"/>
                <w:i w:val="0"/>
                <w:color w:val="auto"/>
                <w:sz w:val="21"/>
                <w:szCs w:val="21"/>
                <w:lang w:eastAsia="zh-CN"/>
              </w:rPr>
              <w:t>钢产量</w:t>
            </w:r>
            <w:r>
              <w:rPr>
                <w:rFonts w:hint="eastAsia" w:ascii="宋体" w:hAnsi="宋体" w:eastAsia="宋体" w:cs="宋体"/>
                <w:b w:val="0"/>
                <w:bCs w:val="0"/>
                <w:i w:val="0"/>
                <w:color w:val="auto"/>
                <w:sz w:val="21"/>
                <w:szCs w:val="21"/>
              </w:rPr>
              <w:t>*单价</w:t>
            </w:r>
          </w:p>
          <w:p>
            <w:pPr>
              <w:widowControl w:val="0"/>
              <w:jc w:val="center"/>
              <w:rPr>
                <w:rFonts w:hint="eastAsia" w:ascii="宋体" w:hAnsi="宋体" w:cs="宋体"/>
                <w:b w:val="0"/>
                <w:bCs w:val="0"/>
                <w:i w:val="0"/>
                <w:color w:val="auto"/>
                <w:sz w:val="21"/>
                <w:szCs w:val="21"/>
                <w:lang w:val="en-US" w:eastAsia="zh-CN"/>
              </w:rPr>
            </w:pPr>
            <w:r>
              <w:rPr>
                <w:rFonts w:hint="eastAsia" w:ascii="宋体" w:hAnsi="宋体" w:cs="宋体"/>
                <w:b w:val="0"/>
                <w:bCs w:val="0"/>
                <w:i w:val="0"/>
                <w:color w:val="auto"/>
                <w:sz w:val="21"/>
                <w:szCs w:val="21"/>
                <w:lang w:eastAsia="zh-CN"/>
              </w:rPr>
              <w:t>钢产量月均约</w:t>
            </w:r>
            <w:r>
              <w:rPr>
                <w:rFonts w:hint="eastAsia" w:ascii="宋体" w:hAnsi="宋体" w:cs="宋体"/>
                <w:b w:val="0"/>
                <w:bCs w:val="0"/>
                <w:i w:val="0"/>
                <w:color w:val="auto"/>
                <w:sz w:val="21"/>
                <w:szCs w:val="21"/>
                <w:lang w:val="en-US" w:eastAsia="zh-CN"/>
              </w:rPr>
              <w:t>24万吨</w:t>
            </w:r>
          </w:p>
        </w:tc>
        <w:tc>
          <w:tcPr>
            <w:tcW w:w="1094" w:type="dxa"/>
            <w:vAlign w:val="center"/>
          </w:tcPr>
          <w:p>
            <w:pPr>
              <w:widowControl w:val="0"/>
              <w:jc w:val="center"/>
              <w:rPr>
                <w:rFonts w:hint="eastAsia" w:ascii="宋体" w:hAnsi="宋体" w:eastAsia="宋体" w:cs="宋体"/>
                <w:sz w:val="21"/>
                <w:szCs w:val="21"/>
                <w:vertAlign w:val="baseline"/>
              </w:rPr>
            </w:pPr>
          </w:p>
        </w:tc>
        <w:tc>
          <w:tcPr>
            <w:tcW w:w="1407"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w:t>
            </w:r>
          </w:p>
        </w:tc>
      </w:tr>
    </w:tbl>
    <w:p>
      <w:pPr>
        <w:tabs>
          <w:tab w:val="left" w:pos="420"/>
          <w:tab w:val="left" w:pos="630"/>
        </w:tabs>
        <w:spacing w:line="240" w:lineRule="auto"/>
        <w:jc w:val="center"/>
        <w:rPr>
          <w:rFonts w:hint="eastAsia" w:ascii="宋体" w:hAnsi="宋体" w:eastAsia="宋体" w:cs="宋体"/>
          <w:sz w:val="21"/>
          <w:szCs w:val="21"/>
          <w:u w:val="none"/>
          <w:lang w:eastAsia="zh-CN"/>
        </w:rPr>
      </w:pPr>
    </w:p>
    <w:p>
      <w:pPr>
        <w:numPr>
          <w:ilvl w:val="0"/>
          <w:numId w:val="0"/>
        </w:numPr>
        <w:tabs>
          <w:tab w:val="left" w:pos="1118"/>
        </w:tabs>
        <w:jc w:val="left"/>
        <w:rPr>
          <w:rFonts w:hint="eastAsia"/>
          <w:lang w:eastAsia="zh-CN"/>
        </w:rPr>
      </w:pPr>
      <w:r>
        <w:rPr>
          <w:rFonts w:hint="eastAsia" w:ascii="Helvetica" w:hAnsi="Helvetica" w:cs="Helvetica"/>
          <w:i w:val="0"/>
          <w:caps w:val="0"/>
          <w:color w:val="000000"/>
          <w:spacing w:val="0"/>
          <w:sz w:val="21"/>
          <w:szCs w:val="21"/>
          <w:shd w:val="clear" w:fill="FFFFFF"/>
          <w:lang w:eastAsia="zh-CN"/>
        </w:rPr>
        <w:t>备注：序号</w:t>
      </w:r>
      <w:r>
        <w:rPr>
          <w:rFonts w:hint="eastAsia" w:ascii="Helvetica" w:hAnsi="Helvetica" w:cs="Helvetica"/>
          <w:i w:val="0"/>
          <w:caps w:val="0"/>
          <w:color w:val="000000"/>
          <w:spacing w:val="0"/>
          <w:sz w:val="21"/>
          <w:szCs w:val="21"/>
          <w:shd w:val="clear" w:fill="FFFFFF"/>
          <w:lang w:val="en-US" w:eastAsia="zh-CN"/>
        </w:rPr>
        <w:t>1</w:t>
      </w:r>
      <w:r>
        <w:rPr>
          <w:rFonts w:ascii="Helvetica" w:hAnsi="Helvetica" w:eastAsia="Helvetica" w:cs="Helvetica"/>
          <w:i w:val="0"/>
          <w:caps w:val="0"/>
          <w:color w:val="000000"/>
          <w:spacing w:val="0"/>
          <w:sz w:val="21"/>
          <w:szCs w:val="21"/>
          <w:shd w:val="clear" w:fill="FFFFFF"/>
        </w:rPr>
        <w:t>倒运吨位依据倒运钢材挂牌理论吨位</w:t>
      </w:r>
      <w:r>
        <w:rPr>
          <w:rFonts w:hint="eastAsia" w:ascii="Helvetica" w:hAnsi="Helvetica" w:cs="Helvetica"/>
          <w:i w:val="0"/>
          <w:caps w:val="0"/>
          <w:color w:val="000000"/>
          <w:spacing w:val="0"/>
          <w:sz w:val="21"/>
          <w:szCs w:val="21"/>
          <w:shd w:val="clear" w:fill="FFFFFF"/>
          <w:lang w:eastAsia="zh-CN"/>
        </w:rPr>
        <w:t>；序号</w:t>
      </w:r>
      <w:r>
        <w:rPr>
          <w:rFonts w:hint="eastAsia" w:ascii="Helvetica" w:hAnsi="Helvetica" w:cs="Helvetica"/>
          <w:i w:val="0"/>
          <w:caps w:val="0"/>
          <w:color w:val="000000"/>
          <w:spacing w:val="0"/>
          <w:sz w:val="21"/>
          <w:szCs w:val="21"/>
          <w:shd w:val="clear" w:fill="FFFFFF"/>
          <w:lang w:val="en-US" w:eastAsia="zh-CN"/>
        </w:rPr>
        <w:t>2倒运吨位为过磅吨位；序号3钢产量为芜湖新兴报表数据。</w:t>
      </w:r>
      <w:r>
        <w:rPr>
          <w:rFonts w:hint="eastAsia" w:ascii="宋体" w:hAnsi="宋体" w:cs="宋体"/>
          <w:sz w:val="21"/>
          <w:szCs w:val="21"/>
          <w:vertAlign w:val="baseline"/>
          <w:lang w:eastAsia="zh-CN"/>
        </w:rPr>
        <w:t>次月付款（转账现汇）</w:t>
      </w:r>
    </w:p>
    <w:p>
      <w:pPr>
        <w:spacing w:line="240" w:lineRule="auto"/>
        <w:rPr>
          <w:rFonts w:hint="eastAsia"/>
          <w:lang w:eastAsia="zh-CN"/>
        </w:rPr>
      </w:pPr>
    </w:p>
    <w:p>
      <w:pPr>
        <w:spacing w:line="240" w:lineRule="auto"/>
        <w:rPr>
          <w:rFonts w:hint="eastAsia"/>
          <w:lang w:eastAsia="zh-CN"/>
        </w:rPr>
      </w:pPr>
      <w:r>
        <w:rPr>
          <w:rFonts w:hint="eastAsia"/>
          <w:lang w:eastAsia="zh-CN"/>
        </w:rPr>
        <w:t>单位：</w:t>
      </w:r>
    </w:p>
    <w:p>
      <w:pPr>
        <w:keepNext w:val="0"/>
        <w:keepLines w:val="0"/>
        <w:pageBreakBefore w:val="0"/>
        <w:widowControl w:val="0"/>
        <w:tabs>
          <w:tab w:val="left" w:pos="1977"/>
        </w:tabs>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b w:val="0"/>
          <w:bCs w:val="0"/>
          <w:kern w:val="2"/>
          <w:sz w:val="24"/>
          <w:szCs w:val="24"/>
          <w:lang w:val="en-US" w:eastAsia="zh-CN" w:bidi="ar-SA"/>
        </w:rPr>
      </w:pPr>
      <w:r>
        <w:rPr>
          <w:rFonts w:hint="eastAsia"/>
          <w:lang w:eastAsia="zh-CN"/>
        </w:rPr>
        <w:t>日期：</w:t>
      </w:r>
      <w:r>
        <w:rPr>
          <w:rFonts w:hint="eastAsia"/>
          <w:lang w:val="en-US" w:eastAsia="zh-CN"/>
        </w:rPr>
        <w:t xml:space="preserve">        </w:t>
      </w: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12</w:t>
      </w:r>
      <w:r>
        <w:rPr>
          <w:rFonts w:ascii="宋体" w:hAnsi="宋体"/>
          <w:color w:val="auto"/>
          <w:sz w:val="24"/>
          <w:szCs w:val="24"/>
        </w:rPr>
        <w:t>月</w:t>
      </w:r>
      <w:r>
        <w:rPr>
          <w:rFonts w:hint="eastAsia" w:ascii="宋体" w:hAnsi="宋体"/>
          <w:color w:val="auto"/>
          <w:sz w:val="24"/>
          <w:szCs w:val="24"/>
          <w:lang w:val="en-US" w:eastAsia="zh-CN"/>
        </w:rPr>
        <w:t>17</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A4158D0"/>
    <w:rsid w:val="10772EB5"/>
    <w:rsid w:val="11DE5603"/>
    <w:rsid w:val="13BA318B"/>
    <w:rsid w:val="1C28711D"/>
    <w:rsid w:val="1F415A0F"/>
    <w:rsid w:val="1FC61767"/>
    <w:rsid w:val="234F5E22"/>
    <w:rsid w:val="23F27268"/>
    <w:rsid w:val="252D19D6"/>
    <w:rsid w:val="25A87FB8"/>
    <w:rsid w:val="25F13BFC"/>
    <w:rsid w:val="2BC407A2"/>
    <w:rsid w:val="2D230D73"/>
    <w:rsid w:val="2E34761D"/>
    <w:rsid w:val="30033579"/>
    <w:rsid w:val="323F2693"/>
    <w:rsid w:val="34FF5DC8"/>
    <w:rsid w:val="390D4485"/>
    <w:rsid w:val="3A4B4F63"/>
    <w:rsid w:val="3F114200"/>
    <w:rsid w:val="41417945"/>
    <w:rsid w:val="41DB42F4"/>
    <w:rsid w:val="4C62699D"/>
    <w:rsid w:val="513C3EF8"/>
    <w:rsid w:val="556B3A6A"/>
    <w:rsid w:val="589B3C10"/>
    <w:rsid w:val="5B2D6E0C"/>
    <w:rsid w:val="5DA113C7"/>
    <w:rsid w:val="5DA500D7"/>
    <w:rsid w:val="603E0EA5"/>
    <w:rsid w:val="607D1710"/>
    <w:rsid w:val="62CA5CF7"/>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2020-12-17T06:07:13Z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