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bookmarkStart w:id="3" w:name="_GoBack"/>
      <w:r>
        <w:rPr>
          <w:rFonts w:hint="eastAsia" w:ascii="宋体" w:hAnsi="宋体"/>
          <w:sz w:val="36"/>
          <w:szCs w:val="32"/>
          <w:lang w:eastAsia="zh-CN"/>
        </w:rPr>
        <w:t>一号高炉环保升级改造项目高压旋喷桩工程</w:t>
      </w:r>
      <w:r>
        <w:rPr>
          <w:rFonts w:hint="eastAsia" w:ascii="宋体" w:hAnsi="宋体"/>
          <w:sz w:val="36"/>
          <w:szCs w:val="32"/>
        </w:rPr>
        <w:t>项目</w:t>
      </w:r>
    </w:p>
    <w:bookmarkEnd w:id="3"/>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bCs/>
          <w:sz w:val="24"/>
          <w:u w:val="single"/>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u w:val="single"/>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rPr>
        <w:t>地基基础工程专业承包叁级及以上资质证书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日15:00（如不满足开标条件时，时间顺延）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周伟  </w:t>
      </w:r>
      <w:r>
        <w:rPr>
          <w:rFonts w:ascii="宋体" w:hAnsi="宋体" w:eastAsia="宋体" w:cs="宋体"/>
          <w:color w:val="FF0000"/>
          <w:kern w:val="0"/>
          <w:sz w:val="24"/>
          <w:szCs w:val="24"/>
        </w:rPr>
        <w:t>13095538240</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kern w:val="36"/>
          <w:lang w:eastAsia="zh-CN"/>
        </w:rPr>
        <w:t>一号高炉环保升级改造项目高压旋喷桩工程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hint="eastAsia" w:ascii="宋体" w:hAnsi="宋体" w:cs="宋体" w:eastAsiaTheme="minorEastAsia"/>
          <w:b/>
          <w:bCs/>
          <w:lang w:eastAsia="zh-CN"/>
        </w:rPr>
      </w:pPr>
      <w:r>
        <w:rPr>
          <w:rFonts w:hint="eastAsia" w:ascii="宋体" w:hAnsi="宋体" w:cs="宋体"/>
          <w:b/>
          <w:bCs/>
        </w:rPr>
        <w:t>一、工程名称：</w:t>
      </w:r>
      <w:r>
        <w:rPr>
          <w:rFonts w:hint="eastAsia" w:ascii="宋体" w:hAnsi="宋体" w:cs="宋体"/>
          <w:kern w:val="36"/>
          <w:lang w:eastAsia="zh-CN"/>
        </w:rPr>
        <w:t>一号高炉环保升级改造项目高压旋喷桩工程</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w:t>
      </w:r>
      <w:r>
        <w:rPr>
          <w:rFonts w:hint="eastAsia" w:ascii="宋体" w:hAnsi="宋体"/>
          <w:b/>
          <w:lang w:val="en-US" w:eastAsia="zh-CN"/>
        </w:rPr>
        <w:t>综合履约保证金</w:t>
      </w:r>
      <w:r>
        <w:rPr>
          <w:rFonts w:hint="eastAsia" w:ascii="宋体" w:hAnsi="宋体"/>
          <w:b/>
        </w:rPr>
        <w:t>。</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line="360" w:lineRule="auto"/>
        <w:rPr>
          <w:rFonts w:hint="eastAsia" w:ascii="宋体" w:hAnsi="宋体"/>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u w:val="single"/>
          <w:lang w:eastAsia="zh-CN"/>
        </w:rPr>
        <w:t>一号高炉环保升级改造项目高压旋喷桩工程</w:t>
      </w:r>
      <w:r>
        <w:rPr>
          <w:rFonts w:hint="eastAsia" w:ascii="宋体" w:hAnsi="宋体"/>
          <w:u w:val="single"/>
        </w:rPr>
        <w:t>，</w:t>
      </w:r>
      <w:r>
        <w:rPr>
          <w:rFonts w:hint="eastAsia" w:ascii="宋体" w:hAnsi="宋体"/>
          <w:u w:val="single"/>
          <w:lang w:eastAsia="zh-CN"/>
        </w:rPr>
        <w:t>包含φ</w:t>
      </w:r>
      <w:r>
        <w:rPr>
          <w:rFonts w:hint="eastAsia" w:ascii="宋体" w:hAnsi="宋体"/>
          <w:u w:val="single"/>
          <w:lang w:val="en-US" w:eastAsia="zh-CN"/>
        </w:rPr>
        <w:t>5</w:t>
      </w:r>
      <w:r>
        <w:rPr>
          <w:rFonts w:hint="eastAsia" w:ascii="宋体" w:hAnsi="宋体"/>
          <w:u w:val="single"/>
          <w:lang w:eastAsia="zh-CN"/>
        </w:rPr>
        <w:t>00高压旋喷桩等施工</w:t>
      </w:r>
      <w:r>
        <w:rPr>
          <w:rFonts w:hint="eastAsia" w:ascii="宋体" w:hAnsi="宋体"/>
          <w:u w:val="single"/>
          <w:lang w:eastAsia="zh-CN"/>
        </w:rPr>
        <w:t>。</w:t>
      </w:r>
    </w:p>
    <w:p>
      <w:pPr>
        <w:spacing w:line="360" w:lineRule="auto"/>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 2022-</w:t>
      </w:r>
      <w:r>
        <w:rPr>
          <w:rFonts w:hint="eastAsia" w:ascii="宋体" w:hAnsi="宋体"/>
          <w:lang w:val="en-US" w:eastAsia="zh-CN"/>
        </w:rPr>
        <w:t>11</w:t>
      </w:r>
      <w:r>
        <w:rPr>
          <w:rFonts w:hint="eastAsia" w:ascii="宋体" w:hAnsi="宋体"/>
        </w:rPr>
        <w:t>-</w:t>
      </w:r>
      <w:r>
        <w:rPr>
          <w:rFonts w:hint="eastAsia" w:ascii="宋体" w:hAnsi="宋体"/>
          <w:lang w:val="en-US" w:eastAsia="zh-CN"/>
        </w:rPr>
        <w:t>8</w:t>
      </w:r>
      <w:r>
        <w:rPr>
          <w:rFonts w:hint="eastAsia" w:ascii="宋体" w:hAnsi="宋体"/>
        </w:rPr>
        <w:t xml:space="preserve">      （暂定）                                          </w:t>
      </w:r>
    </w:p>
    <w:p>
      <w:pPr>
        <w:spacing w:line="360" w:lineRule="auto"/>
        <w:rPr>
          <w:rFonts w:ascii="宋体" w:hAnsi="宋体"/>
        </w:rPr>
      </w:pPr>
      <w:r>
        <w:rPr>
          <w:rFonts w:hint="eastAsia" w:ascii="宋体" w:hAnsi="宋体"/>
        </w:rPr>
        <w:t>竣工日期： 20</w:t>
      </w:r>
      <w:r>
        <w:rPr>
          <w:rFonts w:hint="eastAsia" w:ascii="宋体" w:hAnsi="宋体"/>
          <w:lang w:val="en-US" w:eastAsia="zh-CN"/>
        </w:rPr>
        <w:t>22</w:t>
      </w:r>
      <w:r>
        <w:rPr>
          <w:rFonts w:hint="eastAsia" w:ascii="宋体" w:hAnsi="宋体"/>
        </w:rPr>
        <w:t>-</w:t>
      </w:r>
      <w:r>
        <w:rPr>
          <w:rFonts w:hint="eastAsia" w:ascii="宋体" w:hAnsi="宋体"/>
          <w:lang w:val="en-US" w:eastAsia="zh-CN"/>
        </w:rPr>
        <w:t>11</w:t>
      </w:r>
      <w:r>
        <w:rPr>
          <w:rFonts w:hint="eastAsia" w:ascii="宋体" w:hAnsi="宋体"/>
        </w:rPr>
        <w:t>-</w:t>
      </w:r>
      <w:r>
        <w:rPr>
          <w:rFonts w:hint="eastAsia" w:ascii="宋体" w:hAnsi="宋体"/>
          <w:lang w:val="en-US" w:eastAsia="zh-CN"/>
        </w:rPr>
        <w:t>23</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lang w:val="en-US" w:eastAsia="zh-CN"/>
        </w:rPr>
        <w:t>15</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r>
        <w:rPr>
          <w:rFonts w:hint="eastAsia"/>
          <w:color w:val="FF0000"/>
          <w:kern w:val="36"/>
        </w:rPr>
        <w:t>本工程工期紧急，要求24小时作业。</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sz w:val="21"/>
          <w:szCs w:val="21"/>
        </w:rPr>
      </w:pPr>
      <w:r>
        <w:rPr>
          <w:rFonts w:hint="eastAsia"/>
          <w:sz w:val="21"/>
          <w:szCs w:val="21"/>
        </w:rPr>
        <w:t>本工程预结算执行《建设工程结算管理暂行办法》。</w:t>
      </w:r>
    </w:p>
    <w:p>
      <w:pPr>
        <w:numPr>
          <w:ilvl w:val="0"/>
          <w:numId w:val="2"/>
        </w:numPr>
        <w:spacing w:before="156" w:beforeLines="50" w:after="156" w:afterLines="50"/>
        <w:rPr>
          <w:strike w:val="0"/>
          <w:dstrike w:val="0"/>
          <w:sz w:val="21"/>
          <w:szCs w:val="21"/>
          <w:u w:val="none"/>
        </w:rPr>
      </w:pPr>
      <w:r>
        <w:rPr>
          <w:rFonts w:hint="eastAsia"/>
          <w:sz w:val="21"/>
          <w:szCs w:val="21"/>
        </w:rPr>
        <w:t>本工程按</w:t>
      </w:r>
      <w:r>
        <w:rPr>
          <w:rFonts w:hint="eastAsia"/>
          <w:b/>
          <w:bCs/>
          <w:sz w:val="21"/>
          <w:szCs w:val="21"/>
        </w:rPr>
        <w:t>单价包干</w:t>
      </w:r>
      <w:r>
        <w:rPr>
          <w:rFonts w:hint="eastAsia"/>
          <w:sz w:val="21"/>
          <w:szCs w:val="21"/>
        </w:rPr>
        <w:t>结合定额优惠率（材料费不参与总价优惠）的方式进行报价。未列分项工作量（执行优惠率部分）</w:t>
      </w:r>
      <w:r>
        <w:rPr>
          <w:rFonts w:hint="eastAsia" w:ascii="宋体" w:hAnsi="宋体" w:cs="宋体"/>
          <w:sz w:val="21"/>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1"/>
          <w:szCs w:val="21"/>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1"/>
          <w:szCs w:val="21"/>
          <w:u w:val="single"/>
          <w:lang w:eastAsia="zh-CN"/>
        </w:rPr>
      </w:pPr>
      <w:r>
        <w:rPr>
          <w:rFonts w:hint="eastAsia"/>
          <w:color w:val="FF0000"/>
          <w:sz w:val="21"/>
          <w:szCs w:val="21"/>
          <w:u w:val="single"/>
        </w:rPr>
        <w:t>该工程</w:t>
      </w:r>
      <w:r>
        <w:rPr>
          <w:rFonts w:hint="eastAsia" w:ascii="宋体" w:hAnsi="宋体"/>
          <w:b w:val="0"/>
          <w:bCs w:val="0"/>
          <w:color w:val="FF0000"/>
          <w:sz w:val="21"/>
          <w:szCs w:val="21"/>
          <w:u w:val="single"/>
        </w:rPr>
        <w:t>所有材料由承包人提</w:t>
      </w:r>
      <w:r>
        <w:rPr>
          <w:rFonts w:hint="eastAsia" w:ascii="Times New Roman" w:hAnsi="Times New Roman" w:eastAsia="宋体" w:cs="Times New Roman"/>
          <w:color w:val="FF0000"/>
          <w:sz w:val="21"/>
          <w:szCs w:val="21"/>
          <w:u w:val="single"/>
          <w:lang w:eastAsia="zh-CN"/>
        </w:rPr>
        <w:t>供。</w:t>
      </w:r>
    </w:p>
    <w:p>
      <w:pPr>
        <w:numPr>
          <w:ilvl w:val="0"/>
          <w:numId w:val="2"/>
        </w:numPr>
        <w:spacing w:before="156" w:beforeLines="50" w:after="156" w:afterLines="50"/>
        <w:rPr>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1"/>
          <w:szCs w:val="21"/>
        </w:rPr>
      </w:pPr>
      <w:r>
        <w:rPr>
          <w:sz w:val="21"/>
          <w:szCs w:val="21"/>
        </w:rPr>
        <w:t>发包人有权提出复检要求，承包人应无偿无条件满足抽检时发现承包人采购材料违规，有权处罚和收回采购权，收回采购权后发包人供应材料按进价（含税）加5%</w:t>
      </w:r>
      <w:r>
        <w:rPr>
          <w:b w:val="0"/>
          <w:bCs w:val="0"/>
          <w:sz w:val="21"/>
          <w:szCs w:val="21"/>
        </w:rPr>
        <w:t>管理费结算（从承包价扣除）。</w:t>
      </w:r>
    </w:p>
    <w:p>
      <w:pPr>
        <w:numPr>
          <w:ilvl w:val="0"/>
          <w:numId w:val="2"/>
        </w:numPr>
        <w:spacing w:before="156" w:beforeLines="50" w:after="156" w:afterLines="5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单价包干部分材料价差除钢材和混凝土外不予调整，钢材和混凝土价格以2022年第</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b w:val="0"/>
          <w:bCs w:val="0"/>
          <w:color w:val="auto"/>
          <w:sz w:val="21"/>
          <w:szCs w:val="21"/>
          <w:highlight w:val="none"/>
        </w:rPr>
      </w:pPr>
      <w:r>
        <w:rPr>
          <w:rFonts w:hint="eastAsia"/>
          <w:b w:val="0"/>
          <w:bCs w:val="0"/>
          <w:color w:val="auto"/>
          <w:sz w:val="21"/>
          <w:szCs w:val="21"/>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1"/>
          <w:szCs w:val="21"/>
          <w:highlight w:val="none"/>
        </w:rPr>
      </w:pPr>
      <w:r>
        <w:rPr>
          <w:rFonts w:hint="eastAsia"/>
          <w:sz w:val="21"/>
          <w:szCs w:val="21"/>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1"/>
          <w:szCs w:val="21"/>
        </w:rPr>
      </w:pPr>
      <w:r>
        <w:rPr>
          <w:rFonts w:hint="eastAsia"/>
          <w:sz w:val="21"/>
          <w:szCs w:val="21"/>
          <w:highlight w:val="none"/>
        </w:rPr>
        <w:t>工程内容按合同约定执行，开具增值税发票执行9%</w:t>
      </w:r>
      <w:r>
        <w:rPr>
          <w:rFonts w:hint="eastAsia"/>
          <w:sz w:val="21"/>
          <w:szCs w:val="21"/>
        </w:rPr>
        <w:t>税率。</w:t>
      </w:r>
    </w:p>
    <w:p>
      <w:pPr>
        <w:numPr>
          <w:ilvl w:val="0"/>
          <w:numId w:val="2"/>
        </w:numPr>
        <w:snapToGrid w:val="0"/>
        <w:spacing w:line="360" w:lineRule="auto"/>
        <w:ind w:left="420" w:leftChars="0" w:hanging="420" w:firstLineChars="0"/>
        <w:rPr>
          <w:rFonts w:hint="eastAsia" w:ascii="宋体" w:hAnsi="宋体"/>
          <w:sz w:val="21"/>
          <w:szCs w:val="21"/>
        </w:rPr>
      </w:pPr>
      <w:r>
        <w:rPr>
          <w:rFonts w:hint="eastAsia" w:ascii="宋体" w:hAnsi="宋体"/>
          <w:sz w:val="21"/>
          <w:szCs w:val="21"/>
        </w:rPr>
        <w:t>发包人在指定位置提供施工电源及水源，之外部分承包人自行承担，现场施工水电费结算时按合同总价的７‰扣除或装表据实扣除。</w:t>
      </w:r>
    </w:p>
    <w:p>
      <w:pPr>
        <w:widowControl/>
        <w:numPr>
          <w:ilvl w:val="0"/>
          <w:numId w:val="2"/>
        </w:numPr>
        <w:jc w:val="left"/>
        <w:rPr>
          <w:rFonts w:ascii="宋体" w:hAnsi="宋体"/>
          <w:bCs/>
          <w:sz w:val="21"/>
          <w:szCs w:val="21"/>
        </w:rPr>
      </w:pPr>
      <w:r>
        <w:rPr>
          <w:rFonts w:hint="eastAsia"/>
          <w:b w:val="0"/>
          <w:bCs w:val="0"/>
          <w:color w:val="auto"/>
          <w:sz w:val="21"/>
          <w:szCs w:val="21"/>
          <w:highlight w:val="none"/>
        </w:rPr>
        <w:t>承包人在开工</w:t>
      </w:r>
      <w:r>
        <w:rPr>
          <w:rFonts w:hint="eastAsia"/>
          <w:b w:val="0"/>
          <w:bCs w:val="0"/>
          <w:color w:val="FF0000"/>
          <w:sz w:val="21"/>
          <w:szCs w:val="21"/>
          <w:highlight w:val="none"/>
          <w:lang w:val="en-US" w:eastAsia="zh-CN"/>
        </w:rPr>
        <w:t>前5</w:t>
      </w:r>
      <w:r>
        <w:rPr>
          <w:rFonts w:hint="eastAsia"/>
          <w:b w:val="0"/>
          <w:bCs w:val="0"/>
          <w:color w:val="FF0000"/>
          <w:sz w:val="21"/>
          <w:szCs w:val="21"/>
          <w:highlight w:val="none"/>
        </w:rPr>
        <w:t>天</w:t>
      </w:r>
      <w:r>
        <w:rPr>
          <w:rFonts w:hint="eastAsia"/>
          <w:b w:val="0"/>
          <w:bCs w:val="0"/>
          <w:color w:val="auto"/>
          <w:sz w:val="21"/>
          <w:szCs w:val="21"/>
          <w:highlight w:val="none"/>
        </w:rPr>
        <w:t>内编制详细的施工进度计划，确定重要节点工期，经发包人批准后承包人盖章，作为节点工期考核依据。</w:t>
      </w:r>
    </w:p>
    <w:p>
      <w:pPr>
        <w:widowControl/>
        <w:numPr>
          <w:ilvl w:val="0"/>
          <w:numId w:val="2"/>
        </w:numPr>
        <w:jc w:val="left"/>
        <w:rPr>
          <w:rFonts w:ascii="宋体" w:hAnsi="宋体"/>
          <w:bCs/>
        </w:rPr>
      </w:pPr>
      <w:r>
        <w:rPr>
          <w:rFonts w:hint="eastAsia" w:ascii="宋体" w:hAnsi="宋体" w:cs="宋体"/>
          <w:bCs/>
          <w:color w:val="FF0000"/>
        </w:rPr>
        <w:t>本项目为公开招标，</w:t>
      </w:r>
      <w:r>
        <w:rPr>
          <w:rFonts w:hint="eastAsia"/>
          <w:color w:val="FF0000"/>
        </w:rPr>
        <w:t>执行网上电子询价比价方式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ascii="宋体" w:hAnsi="宋体" w:cs="宋体"/>
        </w:rPr>
      </w:pPr>
      <w:r>
        <w:rPr>
          <w:rFonts w:hint="eastAsia" w:ascii="宋体" w:hAnsi="宋体" w:cs="宋体"/>
        </w:rPr>
        <w:t>1. 本工程的节点工期，另行确定后，作为合同的考核工期。因承包人原因，节点工期每延误1天，承包人向发包人支付违约金贰仟圆整（￥：2000元整）。竣工工期每延误1天，承包人向发包人支付违约金伍仟圆整（￥：5000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lang w:val="en-US" w:eastAsia="zh-CN"/>
        </w:rPr>
        <w:t>2.</w:t>
      </w:r>
      <w:r>
        <w:rPr>
          <w:rFonts w:hint="eastAsia" w:ascii="宋体" w:hAnsi="宋体" w:cs="宋体"/>
        </w:rPr>
        <w:t>承包人向工程师提交已完工程量报告的时间：承包人每月20日前向发包人代表提交已完工程量报告，发包人代表收到报告后5日内审核完毕。</w:t>
      </w:r>
    </w:p>
    <w:p>
      <w:pPr>
        <w:pStyle w:val="18"/>
        <w:widowControl/>
        <w:spacing w:beforeLines="50" w:afterLines="50"/>
        <w:rPr>
          <w:rFonts w:ascii="宋体" w:hAnsi="宋体" w:cs="宋体"/>
        </w:rPr>
      </w:pPr>
      <w:r>
        <w:rPr>
          <w:rFonts w:hint="eastAsia" w:ascii="宋体" w:hAnsi="宋体" w:cs="宋体"/>
          <w:lang w:val="en-US" w:eastAsia="zh-CN"/>
        </w:rPr>
        <w:t>3</w:t>
      </w:r>
      <w:r>
        <w:rPr>
          <w:rFonts w:hint="eastAsia" w:ascii="宋体" w:hAnsi="宋体" w:cs="宋体"/>
        </w:rPr>
        <w:t>．双方约定的工程款（进度款）支付的方式：无预付款，</w:t>
      </w:r>
      <w:r>
        <w:rPr>
          <w:rFonts w:hint="eastAsia" w:ascii="宋体" w:hAnsi="宋体" w:cs="宋体"/>
          <w:color w:val="FF0000"/>
        </w:rPr>
        <w:t>发包人次月按审定的上月进度的80%支付承包人工程款，付款前提供等额增值税专用发票。</w:t>
      </w:r>
    </w:p>
    <w:p>
      <w:pPr>
        <w:widowControl/>
        <w:spacing w:beforeLines="50" w:afterLines="50"/>
        <w:ind w:firstLine="420" w:firstLineChars="20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numPr>
          <w:ilvl w:val="0"/>
          <w:numId w:val="0"/>
        </w:numPr>
        <w:spacing w:beforeLines="50" w:afterLines="50" w:line="36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质量保修期要求如下：</w:t>
      </w:r>
    </w:p>
    <w:p>
      <w:pPr>
        <w:widowControl/>
        <w:numPr>
          <w:ilvl w:val="0"/>
          <w:numId w:val="0"/>
        </w:numPr>
        <w:spacing w:beforeLines="50" w:afterLines="50" w:line="360" w:lineRule="exact"/>
        <w:rPr>
          <w:rFonts w:hint="eastAsia" w:ascii="宋体" w:hAnsi="宋体" w:cs="宋体"/>
          <w:color w:val="0070C0"/>
        </w:rPr>
      </w:pPr>
      <w:r>
        <w:rPr>
          <w:rFonts w:hint="eastAsia" w:ascii="宋体" w:hAnsi="宋体" w:cs="宋体"/>
          <w:color w:val="0070C0"/>
        </w:rPr>
        <w:t>根据《建设工程质量管理条例》及有关规定，工程的质量保修期如下：</w:t>
      </w:r>
    </w:p>
    <w:p>
      <w:pPr>
        <w:widowControl/>
        <w:spacing w:beforeLines="50" w:afterLines="50" w:line="360" w:lineRule="exact"/>
        <w:rPr>
          <w:rFonts w:hint="eastAsia" w:ascii="宋体" w:hAnsi="宋体" w:cs="宋体"/>
          <w:color w:val="0070C0"/>
        </w:rPr>
      </w:pPr>
      <w:r>
        <w:rPr>
          <w:rFonts w:hint="eastAsia" w:ascii="宋体" w:hAnsi="宋体" w:cs="宋体"/>
          <w:color w:val="0070C0"/>
        </w:rPr>
        <w:t>1</w:t>
      </w:r>
      <w:r>
        <w:rPr>
          <w:rFonts w:hint="eastAsia" w:ascii="宋体" w:hAnsi="宋体" w:cs="宋体"/>
          <w:color w:val="0070C0"/>
          <w:lang w:eastAsia="zh-CN"/>
        </w:rPr>
        <w:t>）</w:t>
      </w:r>
      <w:r>
        <w:rPr>
          <w:rFonts w:hint="eastAsia" w:ascii="宋体" w:hAnsi="宋体" w:cs="宋体"/>
          <w:color w:val="0070C0"/>
        </w:rPr>
        <w:t>．地基基础工程和主体结构工程为设计文件规定的工程合理使用年限；</w:t>
      </w:r>
    </w:p>
    <w:p>
      <w:pPr>
        <w:widowControl/>
        <w:spacing w:beforeLines="50" w:afterLines="50" w:line="360" w:lineRule="exact"/>
        <w:rPr>
          <w:rFonts w:hint="eastAsia" w:ascii="宋体" w:hAnsi="宋体" w:cs="宋体"/>
          <w:color w:val="0070C0"/>
        </w:rPr>
      </w:pPr>
      <w:r>
        <w:rPr>
          <w:rFonts w:hint="eastAsia" w:ascii="宋体" w:hAnsi="宋体" w:cs="宋体"/>
          <w:color w:val="0070C0"/>
        </w:rPr>
        <w:t>2</w:t>
      </w:r>
      <w:r>
        <w:rPr>
          <w:rFonts w:hint="eastAsia" w:ascii="宋体" w:hAnsi="宋体" w:cs="宋体"/>
          <w:color w:val="0070C0"/>
          <w:lang w:eastAsia="zh-CN"/>
        </w:rPr>
        <w:t>）</w:t>
      </w:r>
      <w:r>
        <w:rPr>
          <w:rFonts w:hint="eastAsia" w:ascii="宋体" w:hAnsi="宋体" w:cs="宋体"/>
          <w:color w:val="0070C0"/>
        </w:rPr>
        <w:t>．屋面防水工程、有防水要求的卫生间、房间和外墙面的防渗为伍年；</w:t>
      </w:r>
    </w:p>
    <w:p>
      <w:pPr>
        <w:widowControl/>
        <w:spacing w:beforeLines="50" w:afterLines="50" w:line="360" w:lineRule="exact"/>
        <w:rPr>
          <w:rFonts w:hint="eastAsia" w:ascii="宋体" w:hAnsi="宋体" w:cs="宋体"/>
          <w:color w:val="0070C0"/>
        </w:rPr>
      </w:pPr>
      <w:r>
        <w:rPr>
          <w:rFonts w:hint="eastAsia" w:ascii="宋体" w:hAnsi="宋体" w:cs="宋体"/>
          <w:color w:val="0070C0"/>
        </w:rPr>
        <w:t>3</w:t>
      </w:r>
      <w:r>
        <w:rPr>
          <w:rFonts w:hint="eastAsia" w:ascii="宋体" w:hAnsi="宋体" w:cs="宋体"/>
          <w:color w:val="0070C0"/>
          <w:lang w:eastAsia="zh-CN"/>
        </w:rPr>
        <w:t>）</w:t>
      </w:r>
      <w:r>
        <w:rPr>
          <w:rFonts w:hint="eastAsia" w:ascii="宋体" w:hAnsi="宋体" w:cs="宋体"/>
          <w:color w:val="0070C0"/>
        </w:rPr>
        <w:t>．装修工程为贰年；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4</w:t>
      </w:r>
      <w:r>
        <w:rPr>
          <w:rFonts w:hint="eastAsia" w:ascii="宋体" w:hAnsi="宋体" w:cs="宋体"/>
          <w:color w:val="0070C0"/>
          <w:lang w:eastAsia="zh-CN"/>
        </w:rPr>
        <w:t>）</w:t>
      </w:r>
      <w:r>
        <w:rPr>
          <w:rFonts w:hint="eastAsia" w:ascii="宋体" w:hAnsi="宋体" w:cs="宋体"/>
          <w:color w:val="0070C0"/>
        </w:rPr>
        <w:t>．电气管线、给排水管道、设备安装工程为贰年；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5</w:t>
      </w:r>
      <w:r>
        <w:rPr>
          <w:rFonts w:hint="eastAsia" w:ascii="宋体" w:hAnsi="宋体" w:cs="宋体"/>
          <w:color w:val="0070C0"/>
          <w:lang w:eastAsia="zh-CN"/>
        </w:rPr>
        <w:t>）</w:t>
      </w:r>
      <w:r>
        <w:rPr>
          <w:rFonts w:hint="eastAsia" w:ascii="宋体" w:hAnsi="宋体" w:cs="宋体"/>
          <w:color w:val="0070C0"/>
        </w:rPr>
        <w:t>．供热与供冷系统为贰个采暖期、供冷期；</w:t>
      </w:r>
    </w:p>
    <w:p>
      <w:pPr>
        <w:widowControl/>
        <w:spacing w:beforeLines="50" w:afterLines="50" w:line="360" w:lineRule="exact"/>
        <w:rPr>
          <w:rFonts w:hint="eastAsia" w:ascii="宋体" w:hAnsi="宋体" w:cs="宋体"/>
          <w:color w:val="0070C0"/>
        </w:rPr>
      </w:pPr>
      <w:r>
        <w:rPr>
          <w:rFonts w:hint="eastAsia" w:ascii="宋体" w:hAnsi="宋体" w:cs="宋体"/>
          <w:color w:val="0070C0"/>
        </w:rPr>
        <w:t>6</w:t>
      </w:r>
      <w:r>
        <w:rPr>
          <w:rFonts w:hint="eastAsia" w:ascii="宋体" w:hAnsi="宋体" w:cs="宋体"/>
          <w:color w:val="0070C0"/>
          <w:lang w:eastAsia="zh-CN"/>
        </w:rPr>
        <w:t>）</w:t>
      </w:r>
      <w:r>
        <w:rPr>
          <w:rFonts w:hint="eastAsia" w:ascii="宋体" w:hAnsi="宋体" w:cs="宋体"/>
          <w:color w:val="0070C0"/>
        </w:rPr>
        <w:t>．其他项目保修期限约定如下：钢结构防腐质量叁年，其它质保期贰年。</w:t>
      </w:r>
    </w:p>
    <w:p>
      <w:pPr>
        <w:widowControl/>
        <w:spacing w:beforeLines="50" w:afterLines="50" w:line="360" w:lineRule="exact"/>
        <w:rPr>
          <w:rFonts w:ascii="宋体" w:hAnsi="宋体" w:cs="宋体"/>
          <w:color w:val="0070C0"/>
        </w:rPr>
      </w:pPr>
      <w:r>
        <w:rPr>
          <w:rFonts w:hint="eastAsia" w:ascii="宋体" w:hAnsi="宋体" w:cs="宋体"/>
          <w:color w:val="0070C0"/>
        </w:rPr>
        <w:t>质量保修期自工程竣工验收合格之日起计算。</w:t>
      </w:r>
    </w:p>
    <w:p>
      <w:pPr>
        <w:pStyle w:val="8"/>
        <w:spacing w:line="360" w:lineRule="exact"/>
        <w:ind w:left="420" w:hanging="420" w:hangingChars="200"/>
        <w:rPr>
          <w:rFonts w:hAnsi="宋体" w:cs="宋体"/>
          <w:szCs w:val="22"/>
        </w:rPr>
      </w:pPr>
      <w:r>
        <w:rPr>
          <w:rFonts w:hint="eastAsia" w:hAnsi="宋体" w:cs="宋体"/>
          <w:szCs w:val="22"/>
          <w:lang w:val="en-US" w:eastAsia="zh-CN"/>
        </w:rPr>
        <w:t>5</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hint="eastAsia" w:ascii="宋体" w:hAnsi="宋体" w:cs="宋体"/>
          <w:lang w:val="en-US" w:eastAsia="zh-CN"/>
        </w:rPr>
        <w:t>6</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p>
      <w:pPr>
        <w:jc w:val="center"/>
        <w:rPr>
          <w:rFonts w:ascii="宋体" w:hAnsi="宋体"/>
          <w:b/>
          <w:bCs/>
          <w:sz w:val="36"/>
          <w:szCs w:val="36"/>
        </w:rPr>
      </w:pPr>
      <w:r>
        <w:rPr>
          <w:rFonts w:hint="eastAsia" w:ascii="宋体" w:hAnsi="宋体"/>
          <w:b/>
          <w:bCs/>
          <w:sz w:val="36"/>
          <w:szCs w:val="36"/>
          <w:u w:val="single"/>
          <w:lang w:eastAsia="zh-CN"/>
        </w:rPr>
        <w:t>一号高炉环保升级改造项目高压旋喷桩工程</w:t>
      </w:r>
      <w:r>
        <w:rPr>
          <w:rFonts w:hint="eastAsia" w:ascii="宋体" w:hAnsi="宋体"/>
          <w:b/>
          <w:bCs/>
          <w:sz w:val="36"/>
          <w:szCs w:val="36"/>
          <w:u w:val="single"/>
        </w:rPr>
        <w:t>项目</w:t>
      </w:r>
      <w:r>
        <w:rPr>
          <w:rFonts w:hint="eastAsia" w:ascii="宋体" w:hAnsi="宋体"/>
          <w:b/>
          <w:bCs/>
          <w:sz w:val="36"/>
          <w:szCs w:val="36"/>
        </w:rPr>
        <w:t>报价单</w:t>
      </w:r>
    </w:p>
    <w:p>
      <w:pPr>
        <w:tabs>
          <w:tab w:val="left" w:pos="720"/>
          <w:tab w:val="left" w:pos="7200"/>
        </w:tabs>
        <w:snapToGrid w:val="0"/>
        <w:ind w:firstLine="211" w:firstLineChars="100"/>
        <w:rPr>
          <w:rFonts w:hint="eastAsia"/>
          <w:b/>
        </w:rPr>
      </w:pPr>
    </w:p>
    <w:tbl>
      <w:tblPr>
        <w:tblStyle w:val="13"/>
        <w:tblW w:w="13238" w:type="dxa"/>
        <w:jc w:val="center"/>
        <w:tblLayout w:type="fixed"/>
        <w:tblCellMar>
          <w:top w:w="0" w:type="dxa"/>
          <w:left w:w="108" w:type="dxa"/>
          <w:bottom w:w="0" w:type="dxa"/>
          <w:right w:w="108" w:type="dxa"/>
        </w:tblCellMar>
      </w:tblPr>
      <w:tblGrid>
        <w:gridCol w:w="851"/>
        <w:gridCol w:w="1417"/>
        <w:gridCol w:w="1711"/>
        <w:gridCol w:w="611"/>
        <w:gridCol w:w="878"/>
        <w:gridCol w:w="7770"/>
      </w:tblGrid>
      <w:tr>
        <w:tblPrEx>
          <w:tblCellMar>
            <w:top w:w="0" w:type="dxa"/>
            <w:left w:w="108" w:type="dxa"/>
            <w:bottom w:w="0" w:type="dxa"/>
            <w:right w:w="108" w:type="dxa"/>
          </w:tblCellMar>
        </w:tblPrEx>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分项名称</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施工图号</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工程量</w:t>
            </w:r>
          </w:p>
        </w:tc>
        <w:tc>
          <w:tcPr>
            <w:tcW w:w="7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φ500高压旋喷桩</w:t>
            </w:r>
          </w:p>
        </w:tc>
        <w:tc>
          <w:tcPr>
            <w:tcW w:w="17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招标图</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4"/>
                <w:szCs w:val="24"/>
                <w:u w:val="none"/>
                <w:lang w:val="en-US" w:eastAsia="zh-CN" w:bidi="ar"/>
              </w:rPr>
              <w:t>m</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3000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包括空搅、桩机移位、钻进、旋喷、记录等涉及的全部工序及人工费、机械费、材料费、措施费、不可竞争费、税金、水电费等全部费用。工程量按图纸有效桩长计算。</w:t>
            </w:r>
          </w:p>
        </w:tc>
      </w:tr>
      <w:tr>
        <w:tblPrEx>
          <w:tblCellMar>
            <w:top w:w="0" w:type="dxa"/>
            <w:left w:w="108" w:type="dxa"/>
            <w:bottom w:w="0" w:type="dxa"/>
            <w:right w:w="108" w:type="dxa"/>
          </w:tblCellMar>
        </w:tblPrEx>
        <w:trPr>
          <w:trHeight w:val="58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大型机械进出场费</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台次</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包括装、拆、卸、场外运输、税金等全部费用。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砼、钢筋砼破除</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包括破除、装车、外排等涉及的全部工序及人工费、机械费、材料费、措施费、不可竞争费、税金、水电费等全部费用。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暂估金额20000元</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执行2018版安徽省建设工程计价定额及配套费用定额，材料费不参与总价优惠，暂估材料费计入合同价款。措施项目费以签证形式据实计取，二次搬运费不计取。报价折算百分比公式，优惠率=（暂估金额-报价）/暂估金额*100%。</w:t>
            </w:r>
          </w:p>
        </w:tc>
      </w:tr>
    </w:tbl>
    <w:p>
      <w:pPr>
        <w:pStyle w:val="2"/>
        <w:sectPr>
          <w:pgSz w:w="16840" w:h="11900" w:orient="landscape"/>
          <w:pgMar w:top="1361" w:right="1582" w:bottom="981" w:left="278"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D2EB5"/>
    <w:rsid w:val="017E6D6B"/>
    <w:rsid w:val="017F6BAC"/>
    <w:rsid w:val="023559BE"/>
    <w:rsid w:val="02C17069"/>
    <w:rsid w:val="03175A1E"/>
    <w:rsid w:val="031E57BA"/>
    <w:rsid w:val="03CC35F1"/>
    <w:rsid w:val="03CD24DC"/>
    <w:rsid w:val="03E436D3"/>
    <w:rsid w:val="0423636D"/>
    <w:rsid w:val="05F62028"/>
    <w:rsid w:val="065023C3"/>
    <w:rsid w:val="083D3F56"/>
    <w:rsid w:val="08806402"/>
    <w:rsid w:val="08AE00F1"/>
    <w:rsid w:val="08CA7F4E"/>
    <w:rsid w:val="0A047221"/>
    <w:rsid w:val="0A0901C8"/>
    <w:rsid w:val="0A107320"/>
    <w:rsid w:val="0B4A7DF3"/>
    <w:rsid w:val="0BB21CA6"/>
    <w:rsid w:val="0DFC1491"/>
    <w:rsid w:val="0E4F2C23"/>
    <w:rsid w:val="0F454D3F"/>
    <w:rsid w:val="104501EF"/>
    <w:rsid w:val="10F83127"/>
    <w:rsid w:val="118A7471"/>
    <w:rsid w:val="121B22D6"/>
    <w:rsid w:val="133E6E16"/>
    <w:rsid w:val="13B43725"/>
    <w:rsid w:val="13F26CAE"/>
    <w:rsid w:val="140F383A"/>
    <w:rsid w:val="14197C48"/>
    <w:rsid w:val="15D72990"/>
    <w:rsid w:val="1727792B"/>
    <w:rsid w:val="173C1DD9"/>
    <w:rsid w:val="18EA1548"/>
    <w:rsid w:val="1A33768E"/>
    <w:rsid w:val="1B0616D0"/>
    <w:rsid w:val="1BCB32B7"/>
    <w:rsid w:val="1C1A5664"/>
    <w:rsid w:val="1C7E1688"/>
    <w:rsid w:val="1C8160E7"/>
    <w:rsid w:val="1CAB7BE0"/>
    <w:rsid w:val="1DC136C9"/>
    <w:rsid w:val="1E037CB3"/>
    <w:rsid w:val="1FAF676A"/>
    <w:rsid w:val="1FFC4693"/>
    <w:rsid w:val="214D2E1E"/>
    <w:rsid w:val="21C603EE"/>
    <w:rsid w:val="21D2437C"/>
    <w:rsid w:val="21F73AF2"/>
    <w:rsid w:val="22CE473A"/>
    <w:rsid w:val="22E338FA"/>
    <w:rsid w:val="23883F50"/>
    <w:rsid w:val="24AC15A9"/>
    <w:rsid w:val="24C93CD8"/>
    <w:rsid w:val="24DB2F61"/>
    <w:rsid w:val="24E835CF"/>
    <w:rsid w:val="25573A72"/>
    <w:rsid w:val="25C12DBA"/>
    <w:rsid w:val="27B106C3"/>
    <w:rsid w:val="282A37D0"/>
    <w:rsid w:val="28754C22"/>
    <w:rsid w:val="29AB06DF"/>
    <w:rsid w:val="29EF4459"/>
    <w:rsid w:val="2A62363C"/>
    <w:rsid w:val="2AC41542"/>
    <w:rsid w:val="2AFF2879"/>
    <w:rsid w:val="2B193D15"/>
    <w:rsid w:val="2C604D81"/>
    <w:rsid w:val="2CA46661"/>
    <w:rsid w:val="2FFE36B1"/>
    <w:rsid w:val="310A5319"/>
    <w:rsid w:val="312B5ED3"/>
    <w:rsid w:val="326329B3"/>
    <w:rsid w:val="34481C4C"/>
    <w:rsid w:val="346C1874"/>
    <w:rsid w:val="34D80120"/>
    <w:rsid w:val="35E90B6E"/>
    <w:rsid w:val="364C51F0"/>
    <w:rsid w:val="37AE1DB7"/>
    <w:rsid w:val="37B5307D"/>
    <w:rsid w:val="37CA36AB"/>
    <w:rsid w:val="386D04A2"/>
    <w:rsid w:val="39520177"/>
    <w:rsid w:val="39913532"/>
    <w:rsid w:val="3A100A0A"/>
    <w:rsid w:val="3A9E2574"/>
    <w:rsid w:val="3B9F0063"/>
    <w:rsid w:val="3C062CAD"/>
    <w:rsid w:val="3D5977E3"/>
    <w:rsid w:val="400A7CF7"/>
    <w:rsid w:val="40A32F20"/>
    <w:rsid w:val="40EE65D6"/>
    <w:rsid w:val="42B5472A"/>
    <w:rsid w:val="467B56CD"/>
    <w:rsid w:val="47456DDE"/>
    <w:rsid w:val="47807B49"/>
    <w:rsid w:val="4786146B"/>
    <w:rsid w:val="48664A2F"/>
    <w:rsid w:val="49806F97"/>
    <w:rsid w:val="49EC531C"/>
    <w:rsid w:val="4A1D777A"/>
    <w:rsid w:val="4AAE4B8B"/>
    <w:rsid w:val="4AC24D5B"/>
    <w:rsid w:val="4BEB70CE"/>
    <w:rsid w:val="4C2439BA"/>
    <w:rsid w:val="4C6D4D7D"/>
    <w:rsid w:val="4C6F1F1E"/>
    <w:rsid w:val="4CF11927"/>
    <w:rsid w:val="4EF83610"/>
    <w:rsid w:val="4F1B712F"/>
    <w:rsid w:val="4F214CC8"/>
    <w:rsid w:val="4FC1072C"/>
    <w:rsid w:val="51241910"/>
    <w:rsid w:val="51A056CA"/>
    <w:rsid w:val="51C85998"/>
    <w:rsid w:val="51D443D7"/>
    <w:rsid w:val="526A207D"/>
    <w:rsid w:val="526E7AAC"/>
    <w:rsid w:val="529328E8"/>
    <w:rsid w:val="534E7AD3"/>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B121168"/>
    <w:rsid w:val="5CA97B29"/>
    <w:rsid w:val="5D625B74"/>
    <w:rsid w:val="5D634D0C"/>
    <w:rsid w:val="5E513B46"/>
    <w:rsid w:val="5F533CAB"/>
    <w:rsid w:val="605F3D77"/>
    <w:rsid w:val="60692660"/>
    <w:rsid w:val="607B250C"/>
    <w:rsid w:val="62B532A4"/>
    <w:rsid w:val="646057E6"/>
    <w:rsid w:val="64B2518D"/>
    <w:rsid w:val="65100BCA"/>
    <w:rsid w:val="66296C18"/>
    <w:rsid w:val="67B90FFF"/>
    <w:rsid w:val="67E85B48"/>
    <w:rsid w:val="68BB783B"/>
    <w:rsid w:val="6998730F"/>
    <w:rsid w:val="6BFA79CF"/>
    <w:rsid w:val="6C9D5CB9"/>
    <w:rsid w:val="6CB960F2"/>
    <w:rsid w:val="6CDE16B5"/>
    <w:rsid w:val="6D241539"/>
    <w:rsid w:val="6DF65BBA"/>
    <w:rsid w:val="6EDB455F"/>
    <w:rsid w:val="6EE72E54"/>
    <w:rsid w:val="6F286C4E"/>
    <w:rsid w:val="711D243B"/>
    <w:rsid w:val="71A34979"/>
    <w:rsid w:val="724E1F86"/>
    <w:rsid w:val="72FE5A07"/>
    <w:rsid w:val="73F30113"/>
    <w:rsid w:val="7481717E"/>
    <w:rsid w:val="74E73BF7"/>
    <w:rsid w:val="75037D3A"/>
    <w:rsid w:val="765207B1"/>
    <w:rsid w:val="77526E0C"/>
    <w:rsid w:val="77676C2F"/>
    <w:rsid w:val="782F64FC"/>
    <w:rsid w:val="7A1268BD"/>
    <w:rsid w:val="7A471BC2"/>
    <w:rsid w:val="7BBC59D1"/>
    <w:rsid w:val="7C3074C7"/>
    <w:rsid w:val="7CE2425C"/>
    <w:rsid w:val="7F5D6717"/>
    <w:rsid w:val="7FA5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6647</Words>
  <Characters>6914</Characters>
  <Lines>57</Lines>
  <Paragraphs>16</Paragraphs>
  <TotalTime>2</TotalTime>
  <ScaleCrop>false</ScaleCrop>
  <LinksUpToDate>false</LinksUpToDate>
  <CharactersWithSpaces>7233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周伟</cp:lastModifiedBy>
  <cp:lastPrinted>2020-11-26T06:22:00Z</cp:lastPrinted>
  <dcterms:modified xsi:type="dcterms:W3CDTF">2022-10-31T05:45:06Z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9C715AAECA884F55A9461866D6FA45E2</vt:lpwstr>
  </property>
</Properties>
</file>