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白灰、除尘灰罐车倒运</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11</w:t>
      </w:r>
      <w:r>
        <w:rPr>
          <w:rFonts w:ascii="宋体" w:hAnsi="宋体"/>
          <w:color w:val="000000"/>
        </w:rPr>
        <w:t>月</w:t>
      </w:r>
      <w:r>
        <w:rPr>
          <w:rFonts w:hint="eastAsia" w:ascii="宋体" w:hAnsi="宋体"/>
          <w:color w:val="000000"/>
          <w:lang w:val="en-US" w:eastAsia="zh-CN"/>
        </w:rPr>
        <w:t>23</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YSQC202012005BHCCHGCDY</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白灰、除尘灰罐车倒运</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白灰、除尘灰罐车倒运项目，分标段：</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1.炼铁部白灰工部生产的白灰倒运至烧结熔剂站。白灰约80-90℃，需罐车2-4辆。</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2.炼铁部铁区、烧区可回收除尘灰倒运（环保灰和生产除尘灰)。需使用3部罐车倒运，车辆需满足装料位置尺寸限制。</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12</w:t>
      </w:r>
      <w:r>
        <w:rPr>
          <w:rFonts w:ascii="宋体" w:hAnsi="宋体"/>
          <w:b w:val="0"/>
          <w:bCs/>
          <w:color w:val="auto"/>
        </w:rPr>
        <w:t>月</w:t>
      </w:r>
      <w:r>
        <w:rPr>
          <w:rFonts w:hint="eastAsia" w:ascii="宋体" w:hAnsi="宋体"/>
          <w:b w:val="0"/>
          <w:bCs/>
          <w:color w:val="auto"/>
          <w:u w:val="single"/>
          <w:lang w:val="en-US" w:eastAsia="zh-CN"/>
        </w:rPr>
        <w:t xml:space="preserve">14 </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w:t>
      </w:r>
      <w:bookmarkStart w:id="0" w:name="_GoBack"/>
      <w:bookmarkEnd w:id="0"/>
      <w:r>
        <w:rPr>
          <w:rFonts w:hint="eastAsia" w:ascii="宋体" w:hAnsi="宋体"/>
        </w:rPr>
        <w:t>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12</w:t>
      </w:r>
      <w:r>
        <w:rPr>
          <w:rFonts w:hint="eastAsia" w:ascii="宋体" w:hAnsi="宋体"/>
          <w:bCs/>
          <w:color w:val="7030A0"/>
        </w:rPr>
        <w:t>月</w:t>
      </w:r>
      <w:r>
        <w:rPr>
          <w:rFonts w:hint="eastAsia" w:ascii="宋体" w:hAnsi="宋体"/>
          <w:bCs/>
          <w:color w:val="7030A0"/>
          <w:u w:val="single"/>
        </w:rPr>
        <w:t xml:space="preserve"> </w:t>
      </w:r>
      <w:r>
        <w:rPr>
          <w:rFonts w:hint="eastAsia" w:ascii="宋体" w:hAnsi="宋体"/>
          <w:bCs/>
          <w:color w:val="7030A0"/>
          <w:u w:val="single"/>
          <w:lang w:val="en-US" w:eastAsia="zh-CN"/>
        </w:rPr>
        <w:t>12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2、承揽单位必须具备24小时承揽服务能力，配备足够作业人员，合理安排班次，作业人员不得疲劳作业，班次调整时不得连续24小时作业；作业人员须持有国家相关部门核发的有效证件。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3、除尘灰下料口位置狭小，倒运除尘灰罐车需要满足下料空间限制。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4、罐车需证照、保险齐全。罐车安全阀、压力表应定期校验。人员进入罐体需执行公司《有限空间作业安全管理制度》。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5、承揽单位在合同履行中，必须遵守我公司的安全、生产、环保、质量、现场、车辆交通等规章制度。如违反相关规章制度，我公司将依据规章制度要求给予考核。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7、承揽单位须在履约前准备好车辆、作业人员，所有作业人员需接受用车部门安全培训、业务培训后方可上岗。</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8、合同期限：2020年12月29日至2021年6月28日。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tabs>
          <w:tab w:val="left" w:pos="420"/>
          <w:tab w:val="left" w:pos="630"/>
        </w:tabs>
        <w:spacing w:line="24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报价表</w:t>
      </w:r>
    </w:p>
    <w:p>
      <w:pPr>
        <w:tabs>
          <w:tab w:val="left" w:pos="420"/>
          <w:tab w:val="left" w:pos="630"/>
        </w:tabs>
        <w:spacing w:line="24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含税报价（适用税率</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w:t>
      </w:r>
      <w:r>
        <w:rPr>
          <w:rFonts w:hint="eastAsia" w:ascii="宋体" w:hAnsi="宋体" w:eastAsia="宋体" w:cs="宋体"/>
          <w:sz w:val="21"/>
          <w:szCs w:val="21"/>
          <w:u w:val="none"/>
          <w:lang w:eastAsia="zh-CN"/>
        </w:rPr>
        <w:t>）</w:t>
      </w:r>
    </w:p>
    <w:p>
      <w:pPr>
        <w:tabs>
          <w:tab w:val="left" w:pos="420"/>
          <w:tab w:val="left" w:pos="630"/>
        </w:tabs>
        <w:spacing w:line="240" w:lineRule="auto"/>
        <w:jc w:val="center"/>
        <w:rPr>
          <w:rFonts w:hint="eastAsia" w:ascii="宋体" w:hAnsi="宋体" w:eastAsia="宋体" w:cs="宋体"/>
          <w:sz w:val="21"/>
          <w:szCs w:val="21"/>
          <w:u w:val="none"/>
          <w:lang w:eastAsia="zh-CN"/>
        </w:rPr>
      </w:pPr>
    </w:p>
    <w:tbl>
      <w:tblPr>
        <w:tblStyle w:val="8"/>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841"/>
        <w:gridCol w:w="1821"/>
        <w:gridCol w:w="3525"/>
        <w:gridCol w:w="94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标段</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项目</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车型</w:t>
            </w:r>
          </w:p>
        </w:tc>
        <w:tc>
          <w:tcPr>
            <w:tcW w:w="35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结算方式</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元/吨</w:t>
            </w:r>
          </w:p>
        </w:tc>
        <w:tc>
          <w:tcPr>
            <w:tcW w:w="13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炼铁部白灰工部生产的粉灰倒运至烧结熔剂站</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罐车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（一组烧结机开要2辆，两组烧结机开要4辆）</w:t>
            </w:r>
          </w:p>
        </w:tc>
        <w:tc>
          <w:tcPr>
            <w:tcW w:w="35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结算费用=过磅运量*单价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白灰</w:t>
            </w:r>
            <w:r>
              <w:rPr>
                <w:rFonts w:hint="eastAsia" w:ascii="宋体" w:hAnsi="宋体" w:cs="宋体"/>
                <w:b w:val="0"/>
                <w:bCs w:val="0"/>
                <w:color w:val="auto"/>
                <w:sz w:val="21"/>
                <w:szCs w:val="21"/>
                <w:vertAlign w:val="baseline"/>
                <w:lang w:val="en-US" w:eastAsia="zh-CN"/>
              </w:rPr>
              <w:t>倒运</w:t>
            </w:r>
            <w:r>
              <w:rPr>
                <w:rFonts w:hint="eastAsia" w:ascii="宋体" w:hAnsi="宋体" w:eastAsia="宋体" w:cs="宋体"/>
                <w:b w:val="0"/>
                <w:bCs w:val="0"/>
                <w:color w:val="auto"/>
                <w:sz w:val="21"/>
                <w:szCs w:val="21"/>
                <w:vertAlign w:val="baseline"/>
                <w:lang w:val="en-US" w:eastAsia="zh-CN"/>
              </w:rPr>
              <w:t>量约</w:t>
            </w:r>
            <w:r>
              <w:rPr>
                <w:rFonts w:hint="eastAsia" w:ascii="宋体" w:hAnsi="宋体" w:cs="宋体"/>
                <w:b w:val="0"/>
                <w:bCs w:val="0"/>
                <w:color w:val="auto"/>
                <w:sz w:val="21"/>
                <w:szCs w:val="21"/>
                <w:vertAlign w:val="baseline"/>
                <w:lang w:val="en-US" w:eastAsia="zh-CN"/>
              </w:rPr>
              <w:t>2</w:t>
            </w:r>
            <w:r>
              <w:rPr>
                <w:rFonts w:hint="eastAsia" w:ascii="宋体" w:hAnsi="宋体" w:eastAsia="宋体" w:cs="宋体"/>
                <w:b w:val="0"/>
                <w:bCs w:val="0"/>
                <w:color w:val="auto"/>
                <w:sz w:val="21"/>
                <w:szCs w:val="21"/>
                <w:vertAlign w:val="baseline"/>
                <w:lang w:val="en-US" w:eastAsia="zh-CN"/>
              </w:rPr>
              <w:t>万吨/月</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30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次月付款    （</w:t>
            </w:r>
            <w:r>
              <w:rPr>
                <w:rFonts w:hint="eastAsia" w:ascii="宋体" w:hAnsi="宋体" w:cs="宋体"/>
                <w:b w:val="0"/>
                <w:bCs w:val="0"/>
                <w:color w:val="auto"/>
                <w:sz w:val="21"/>
                <w:szCs w:val="21"/>
                <w:vertAlign w:val="baseline"/>
                <w:lang w:val="en-US" w:eastAsia="zh-CN"/>
              </w:rPr>
              <w:t>转账或现汇</w:t>
            </w:r>
            <w:r>
              <w:rPr>
                <w:rFonts w:hint="eastAsia" w:ascii="宋体" w:hAnsi="宋体" w:eastAsia="宋体" w:cs="宋体"/>
                <w:b w:val="0"/>
                <w:bCs w:val="0"/>
                <w:color w:val="auto"/>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炼铁部铁区、烧区可回收除尘灰倒运（环保灰和生产除尘灰)</w:t>
            </w:r>
          </w:p>
        </w:tc>
        <w:tc>
          <w:tcPr>
            <w:tcW w:w="18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罐车（3台）</w:t>
            </w:r>
          </w:p>
        </w:tc>
        <w:tc>
          <w:tcPr>
            <w:tcW w:w="3525" w:type="dxa"/>
            <w:noWrap w:val="0"/>
            <w:vAlign w:val="center"/>
          </w:tcPr>
          <w:p>
            <w:pPr>
              <w:numPr>
                <w:ilvl w:val="0"/>
                <w:numId w:val="0"/>
              </w:num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结算费用=过磅运量*单价</w:t>
            </w:r>
          </w:p>
          <w:p>
            <w:pPr>
              <w:numPr>
                <w:ilvl w:val="0"/>
                <w:numId w:val="0"/>
              </w:numPr>
              <w:spacing w:line="240" w:lineRule="auto"/>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倒运量约3000吨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过磅来不及时，按每车估算吨位结算。</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auto"/>
                <w:sz w:val="21"/>
                <w:szCs w:val="21"/>
                <w:vertAlign w:val="baseline"/>
                <w:lang w:val="en-US" w:eastAsia="zh-CN"/>
              </w:rPr>
            </w:pPr>
          </w:p>
        </w:tc>
        <w:tc>
          <w:tcPr>
            <w:tcW w:w="130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r>
    </w:tbl>
    <w:p>
      <w:pPr>
        <w:spacing w:line="240" w:lineRule="auto"/>
        <w:rPr>
          <w:rFonts w:hint="eastAsia"/>
          <w:lang w:eastAsia="zh-CN"/>
        </w:rPr>
      </w:pPr>
    </w:p>
    <w:p>
      <w:pPr>
        <w:spacing w:line="240" w:lineRule="auto"/>
        <w:rPr>
          <w:rFonts w:hint="eastAsia"/>
          <w:lang w:eastAsia="zh-CN"/>
        </w:rPr>
      </w:pPr>
      <w:r>
        <w:rPr>
          <w:rFonts w:hint="eastAsia"/>
          <w:lang w:eastAsia="zh-CN"/>
        </w:rPr>
        <w:t>单位：</w:t>
      </w:r>
    </w:p>
    <w:p>
      <w:pPr>
        <w:keepNext w:val="0"/>
        <w:keepLines w:val="0"/>
        <w:pageBreakBefore w:val="0"/>
        <w:widowControl w:val="0"/>
        <w:tabs>
          <w:tab w:val="left" w:pos="1977"/>
        </w:tabs>
        <w:kinsoku/>
        <w:wordWrap/>
        <w:overflowPunct/>
        <w:topLinePunct w:val="0"/>
        <w:autoSpaceDE/>
        <w:autoSpaceDN/>
        <w:bidi w:val="0"/>
        <w:adjustRightInd/>
        <w:snapToGrid/>
        <w:spacing w:line="240" w:lineRule="auto"/>
        <w:ind w:right="0" w:rightChars="0"/>
        <w:jc w:val="left"/>
        <w:textAlignment w:val="auto"/>
        <w:rPr>
          <w:rFonts w:hint="default" w:ascii="Times New Roman" w:hAnsi="Times New Roman" w:cs="Times New Roman"/>
          <w:b w:val="0"/>
          <w:bCs w:val="0"/>
          <w:kern w:val="2"/>
          <w:sz w:val="24"/>
          <w:szCs w:val="24"/>
          <w:lang w:val="en-US" w:eastAsia="zh-CN" w:bidi="ar-SA"/>
        </w:rPr>
      </w:pPr>
      <w:r>
        <w:rPr>
          <w:rFonts w:hint="eastAsia"/>
          <w:lang w:eastAsia="zh-CN"/>
        </w:rPr>
        <w:t>日期：</w:t>
      </w:r>
      <w:r>
        <w:rPr>
          <w:rFonts w:hint="eastAsia"/>
          <w:lang w:val="en-US" w:eastAsia="zh-CN"/>
        </w:rPr>
        <w:t xml:space="preserve">         </w:t>
      </w: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textAlignment w:val="auto"/>
        <w:rPr>
          <w:rFonts w:hint="default" w:ascii="Times New Roman" w:hAnsi="Times New Roman" w:cs="Times New Roman"/>
          <w:b w:val="0"/>
          <w:bCs w:val="0"/>
          <w:kern w:val="2"/>
          <w:sz w:val="24"/>
          <w:szCs w:val="24"/>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11</w:t>
      </w:r>
      <w:r>
        <w:rPr>
          <w:rFonts w:ascii="宋体" w:hAnsi="宋体"/>
          <w:color w:val="auto"/>
          <w:sz w:val="24"/>
          <w:szCs w:val="24"/>
        </w:rPr>
        <w:t>月</w:t>
      </w:r>
      <w:r>
        <w:rPr>
          <w:rFonts w:hint="eastAsia" w:ascii="宋体" w:hAnsi="宋体"/>
          <w:color w:val="auto"/>
          <w:sz w:val="24"/>
          <w:szCs w:val="24"/>
          <w:lang w:val="en-US" w:eastAsia="zh-CN"/>
        </w:rPr>
        <w:t>23</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NwSVbCU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Qv&#10;vNUAAAAJAQAADwAAAAAAAAABACAAAAAiAAAAZHJzL2Rvd25yZXYueG1sUEsBAhQAFAAAAAgAh07i&#10;QDcElWwlAgAAZAQAAA4AAAAAAAAAAQAgAAAAJAEAAGRycy9lMm9Eb2MueG1sUEsFBgAAAAAGAAYA&#10;WQEAALs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b&#10;cADVAAAACAEAAA8AAAAAAAAAAQAgAAAAIgAAAGRycy9kb3ducmV2LnhtbFBLAQIUABQAAAAIAIdO&#10;4kAHwTA5JgIAAGQEAAAOAAAAAAAAAAEAIAAAACQBAABkcnMvZTJvRG9jLnhtbFBLBQYAAAAABgAG&#10;AFkBAAC8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10772EB5"/>
    <w:rsid w:val="11DE5603"/>
    <w:rsid w:val="13BA318B"/>
    <w:rsid w:val="1C28711D"/>
    <w:rsid w:val="1F415A0F"/>
    <w:rsid w:val="1FC61767"/>
    <w:rsid w:val="234F5E22"/>
    <w:rsid w:val="23F27268"/>
    <w:rsid w:val="252D19D6"/>
    <w:rsid w:val="25A87FB8"/>
    <w:rsid w:val="25F13BFC"/>
    <w:rsid w:val="2D230D73"/>
    <w:rsid w:val="2E34761D"/>
    <w:rsid w:val="30033579"/>
    <w:rsid w:val="323F2693"/>
    <w:rsid w:val="34FF5DC8"/>
    <w:rsid w:val="390D4485"/>
    <w:rsid w:val="3A4B4F63"/>
    <w:rsid w:val="3F114200"/>
    <w:rsid w:val="41417945"/>
    <w:rsid w:val="41DB42F4"/>
    <w:rsid w:val="4C62699D"/>
    <w:rsid w:val="513C3EF8"/>
    <w:rsid w:val="556B3A6A"/>
    <w:rsid w:val="589B3C10"/>
    <w:rsid w:val="5B2D6E0C"/>
    <w:rsid w:val="5DA113C7"/>
    <w:rsid w:val="5DA500D7"/>
    <w:rsid w:val="603E0EA5"/>
    <w:rsid w:val="607D1710"/>
    <w:rsid w:val="62CA5CF7"/>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2020-11-23T07:28:39Z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