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低氮增碳剂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24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20220040013DDZTJ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低氮增碳剂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2022年4月29日9：00，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29</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29</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9</w:t>
      </w:r>
      <w:bookmarkStart w:id="0" w:name="_GoBack"/>
      <w:bookmarkEnd w:id="0"/>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满足附件技术要求及炼钢部、铸锻部使用要求。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本次招标低氮增碳剂630吨（以上数量为三个月理论使用数量，具体供货数量以生产单位实际用量为准，具体供货时间以商务部门通知为准）。招标合同执行周期为3个月。</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参标厂家要求具有一定的生产能力；业绩要求， 提供2019年至今一份及以上对钢企低氮增碳剂的供货业绩合同。</w:t>
      </w:r>
    </w:p>
    <w:p>
      <w:pPr>
        <w:numPr>
          <w:ilvl w:val="0"/>
          <w:numId w:val="9"/>
        </w:numPr>
        <w:spacing w:line="360" w:lineRule="auto"/>
        <w:ind w:left="1260" w:leftChars="0" w:firstLineChars="0"/>
        <w:rPr>
          <w:rFonts w:hint="default"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低氮增碳剂</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694018"/>
    <w:rsid w:val="097B7AE5"/>
    <w:rsid w:val="0A013E41"/>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0F24318"/>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6F59C5"/>
    <w:rsid w:val="68985C4A"/>
    <w:rsid w:val="68BB275A"/>
    <w:rsid w:val="68DB550E"/>
    <w:rsid w:val="69107F50"/>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4252</Words>
  <Characters>4515</Characters>
  <Lines>35</Lines>
  <Paragraphs>10</Paragraphs>
  <TotalTime>16</TotalTime>
  <ScaleCrop>false</ScaleCrop>
  <LinksUpToDate>false</LinksUpToDate>
  <CharactersWithSpaces>5498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2022-04-24T08:36:43Z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