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炼铁能源三级计量安装工程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炼铁能源三级计量安装工程项目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炼铁能源三级计量安装工程项目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含流量计及配套附件、仪表箱（柜）、线缆、管道等施工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2022-07-05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2022-09-03                                                   </w:t>
      </w:r>
    </w:p>
    <w:p>
      <w:pPr>
        <w:spacing w:line="360" w:lineRule="auto"/>
        <w:rPr>
          <w:rFonts w:ascii="宋体" w:hAnsi="宋体"/>
          <w:color w:val="auto"/>
        </w:rPr>
      </w:pPr>
      <w:r>
        <w:rPr>
          <w:rFonts w:hint="eastAsia" w:ascii="宋体" w:hAnsi="宋体"/>
          <w:color w:val="auto"/>
          <w:lang w:val="en-US" w:eastAsia="zh-CN"/>
        </w:rPr>
        <w:t>合同工期总日历天数 60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该工程阀门、电缆、防爆挠性管、防爆穿线盒由发包人提供，其他所有材料由承包人提供。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2．双方约定的工程款（进度款）支付的方式：以上工程无预付款；以上工程无预付款；工程完工后付至已完工程量的70% ，付款前提供等额增值税专用发票。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r>
        <w:rPr>
          <w:rFonts w:hint="eastAsia" w:ascii="宋体" w:hAnsi="宋体" w:cs="宋体" w:eastAsiaTheme="minorEastAsia"/>
          <w:color w:val="auto"/>
          <w:kern w:val="2"/>
          <w:sz w:val="21"/>
          <w:szCs w:val="22"/>
          <w:lang w:val="en-US" w:eastAsia="zh-CN" w:bidi="ar-SA"/>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2"/>
        <w:gridCol w:w="2415"/>
        <w:gridCol w:w="1230"/>
        <w:gridCol w:w="720"/>
        <w:gridCol w:w="1040"/>
        <w:gridCol w:w="10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05" w:hRule="atLeast"/>
        </w:trPr>
        <w:tc>
          <w:tcPr>
            <w:tcW w:w="16117"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3" w:name="_GoBack"/>
            <w:r>
              <w:rPr>
                <w:rFonts w:hint="eastAsia" w:ascii="宋体" w:hAnsi="宋体" w:eastAsia="宋体" w:cs="宋体"/>
                <w:b/>
                <w:bCs/>
                <w:i w:val="0"/>
                <w:iCs w:val="0"/>
                <w:color w:val="000000"/>
                <w:kern w:val="0"/>
                <w:sz w:val="32"/>
                <w:szCs w:val="32"/>
                <w:u w:val="none"/>
                <w:bdr w:val="none" w:color="auto" w:sz="0" w:space="0"/>
                <w:lang w:val="en-US" w:eastAsia="zh-CN" w:bidi="ar"/>
              </w:rPr>
              <w:t>炼铁能源三级计量安装工程项目</w:t>
            </w:r>
            <w:bookmarkEnd w:id="3"/>
            <w:r>
              <w:rPr>
                <w:rFonts w:hint="eastAsia" w:ascii="宋体" w:hAnsi="宋体" w:eastAsia="宋体" w:cs="宋体"/>
                <w:b/>
                <w:bCs/>
                <w:i w:val="0"/>
                <w:iCs w:val="0"/>
                <w:color w:val="000000"/>
                <w:kern w:val="0"/>
                <w:sz w:val="32"/>
                <w:szCs w:val="32"/>
                <w:u w:val="none"/>
                <w:bdr w:val="none" w:color="auto" w:sz="0" w:space="0"/>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电力电缆敷设（≤10m2）</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22030316.01B06、22030316.02B06</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拦标价：7元/m。包含电力电缆敷设、标识以及所有材料的卸车、运输、倒运等全部工序涉及的人工费、机械费、材料费（不含电缆材料费）、措施费、不可竞争费、税金、水电费等全部费用。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78"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电力电缆终端头制作安装（≤10m2）</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控制电缆敷设（≤6芯）</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15600</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控制电缆终端头制作安装（≤6芯）</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DN100及以下内藏式环形锥体流量计和孔板流量计安装</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DN100-DN200（含）内藏式环形锥体流量计和孔板流量计安装</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3500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5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DN200-DN300（含）内藏式环形锥体流量计和孔板流量计安装</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DN100及以下涡街流量计和电磁流量计安装</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DN100-DN200（含）涡街流量计和电磁流量计安装</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DN200-DN300（含）涡街和电磁流量计安装</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DN20镀锌钢管安装</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372</w:t>
            </w:r>
          </w:p>
        </w:tc>
        <w:tc>
          <w:tcPr>
            <w:tcW w:w="10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拦标价：30元/m。包含镀锌钢管安装、接地、补漆以及所有材料的倒运等全部工序涉及的人工费、机械费、材料费、措施费、不可竞争费、税金、水电费等全部费用。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钢结构制安</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16000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5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暂估金额50000元</w:t>
            </w:r>
          </w:p>
        </w:tc>
        <w:tc>
          <w:tcPr>
            <w:tcW w:w="10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632" w:firstLineChars="3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4F24D5F"/>
    <w:rsid w:val="364C51F0"/>
    <w:rsid w:val="37CA36AB"/>
    <w:rsid w:val="386D04A2"/>
    <w:rsid w:val="39913532"/>
    <w:rsid w:val="3A100A0A"/>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605F3D77"/>
    <w:rsid w:val="60692660"/>
    <w:rsid w:val="607B250C"/>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7717</Words>
  <Characters>8106</Characters>
  <Lines>80</Lines>
  <Paragraphs>22</Paragraphs>
  <TotalTime>5</TotalTime>
  <ScaleCrop>false</ScaleCrop>
  <LinksUpToDate>false</LinksUpToDate>
  <CharactersWithSpaces>8538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2022-06-22T08:26:50Z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