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color w:val="FFFF00"/>
          <w:sz w:val="36"/>
          <w:szCs w:val="36"/>
          <w:u w:val="none"/>
          <w:lang w:val="en-US" w:eastAsia="zh-CN"/>
        </w:rPr>
      </w:pPr>
      <w:r>
        <w:rPr>
          <w:rFonts w:hint="eastAsia" w:ascii="宋体" w:hAnsi="宋体"/>
          <w:b/>
          <w:sz w:val="36"/>
          <w:szCs w:val="36"/>
          <w:lang w:val="en-US" w:eastAsia="zh-CN"/>
        </w:rPr>
        <w:t>炼铁部白灰、除尘灰倒运项目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2021</w:t>
      </w:r>
      <w:r>
        <w:rPr>
          <w:rFonts w:ascii="宋体" w:hAnsi="宋体"/>
        </w:rPr>
        <w:t>年</w:t>
      </w:r>
      <w:r>
        <w:rPr>
          <w:rFonts w:hint="eastAsia" w:ascii="宋体" w:hAnsi="宋体"/>
          <w:lang w:val="en-US" w:eastAsia="zh-CN"/>
        </w:rPr>
        <w:t>5</w:t>
      </w:r>
      <w:r>
        <w:rPr>
          <w:rFonts w:ascii="宋体" w:hAnsi="宋体"/>
          <w:color w:val="000000"/>
        </w:rPr>
        <w:t>月</w:t>
      </w:r>
      <w:r>
        <w:rPr>
          <w:rFonts w:hint="eastAsia" w:ascii="宋体" w:hAnsi="宋体"/>
          <w:color w:val="000000"/>
          <w:lang w:val="en-US" w:eastAsia="zh-CN"/>
        </w:rPr>
        <w:t>25</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YSQC202106007LTBBHCCHDYXM</w:t>
      </w:r>
    </w:p>
    <w:p>
      <w:pPr>
        <w:spacing w:line="300" w:lineRule="auto"/>
        <w:ind w:firstLine="600"/>
        <w:rPr>
          <w:rFonts w:hint="eastAsia" w:ascii="宋体" w:hAnsi="宋体"/>
          <w:b w:val="0"/>
          <w:bCs/>
          <w:color w:val="auto"/>
        </w:rPr>
      </w:pPr>
      <w:r>
        <w:rPr>
          <w:rFonts w:hint="eastAsia" w:ascii="宋体" w:hAnsi="宋体"/>
          <w:kern w:val="2"/>
          <w:sz w:val="24"/>
          <w:szCs w:val="24"/>
          <w:lang w:val="en-US" w:eastAsia="zh-CN" w:bidi="ar-SA"/>
        </w:rPr>
        <w:t>我公司将于近日对炼铁部</w:t>
      </w:r>
      <w:r>
        <w:rPr>
          <w:rFonts w:hint="eastAsia"/>
          <w:sz w:val="24"/>
          <w:szCs w:val="24"/>
          <w:u w:val="single"/>
          <w:lang w:eastAsia="zh-CN"/>
        </w:rPr>
        <w:t>白灰、除尘灰倒运项目</w:t>
      </w:r>
      <w:r>
        <w:rPr>
          <w:rFonts w:hint="eastAsia" w:ascii="宋体" w:hAnsi="宋体"/>
          <w:kern w:val="2"/>
          <w:sz w:val="24"/>
          <w:szCs w:val="24"/>
          <w:lang w:val="en-US" w:eastAsia="zh-CN" w:bidi="ar-SA"/>
        </w:rPr>
        <w:t>进行招标，有意向合作的公司可与我公司联系</w:t>
      </w:r>
      <w:r>
        <w:rPr>
          <w:rFonts w:hint="eastAsia" w:ascii="宋体" w:hAnsi="宋体"/>
          <w:b w:val="0"/>
          <w:bCs/>
          <w:color w:val="auto"/>
          <w:lang w:val="en-US" w:eastAsia="zh-CN"/>
        </w:rPr>
        <w:t>进行</w:t>
      </w:r>
      <w:r>
        <w:rPr>
          <w:rFonts w:hint="eastAsia" w:ascii="宋体" w:hAnsi="宋体"/>
          <w:b w:val="0"/>
          <w:bCs/>
          <w:color w:val="auto"/>
        </w:rPr>
        <w:t>网上报名</w:t>
      </w:r>
      <w:r>
        <w:rPr>
          <w:rFonts w:hint="eastAsia" w:ascii="宋体" w:hAnsi="宋体"/>
          <w:b w:val="0"/>
          <w:bCs/>
          <w:color w:val="auto"/>
          <w:lang w:eastAsia="zh-CN"/>
        </w:rPr>
        <w:t>（</w:t>
      </w:r>
      <w:r>
        <w:rPr>
          <w:rFonts w:hint="eastAsia" w:ascii="宋体" w:hAnsi="宋体"/>
          <w:b w:val="0"/>
          <w:bCs/>
          <w:color w:val="auto"/>
          <w:lang w:val="en-US" w:eastAsia="zh-CN"/>
        </w:rPr>
        <w:t>疫情期间谢绝现场报名</w:t>
      </w:r>
      <w:r>
        <w:rPr>
          <w:rFonts w:hint="eastAsia" w:ascii="宋体" w:hAnsi="宋体"/>
          <w:b w:val="0"/>
          <w:bCs/>
          <w:color w:val="auto"/>
          <w:lang w:eastAsia="zh-CN"/>
        </w:rPr>
        <w:t>）</w:t>
      </w:r>
      <w:r>
        <w:rPr>
          <w:rFonts w:hint="eastAsia" w:ascii="宋体" w:hAnsi="宋体"/>
          <w:b w:val="0"/>
          <w:bCs/>
          <w:color w:val="auto"/>
        </w:rPr>
        <w:t>，请按要求填写投标报名函，并附上相关资质资料等，</w:t>
      </w:r>
      <w:r>
        <w:rPr>
          <w:rFonts w:hint="eastAsia" w:ascii="宋体" w:hAnsi="宋体"/>
          <w:b w:val="0"/>
          <w:bCs/>
          <w:color w:val="auto"/>
          <w:lang w:val="en-US" w:eastAsia="zh-CN"/>
        </w:rPr>
        <w:t>公平交易承诺函（</w:t>
      </w:r>
      <w:r>
        <w:rPr>
          <w:rFonts w:hint="eastAsia" w:ascii="宋体" w:hAnsi="宋体"/>
          <w:b w:val="0"/>
          <w:bCs/>
          <w:color w:val="auto"/>
        </w:rPr>
        <w:t>加盖公章</w:t>
      </w:r>
      <w:r>
        <w:rPr>
          <w:rFonts w:hint="eastAsia" w:ascii="宋体" w:hAnsi="宋体"/>
          <w:b w:val="0"/>
          <w:bCs/>
          <w:color w:val="auto"/>
          <w:lang w:eastAsia="zh-CN"/>
        </w:rPr>
        <w:t>）</w:t>
      </w:r>
      <w:r>
        <w:rPr>
          <w:rFonts w:hint="eastAsia" w:ascii="宋体" w:hAnsi="宋体"/>
          <w:b w:val="0"/>
          <w:bCs/>
          <w:color w:val="auto"/>
        </w:rPr>
        <w:t>扫描后发至</w:t>
      </w:r>
      <w:r>
        <w:rPr>
          <w:rFonts w:hint="eastAsia" w:ascii="宋体" w:hAnsi="宋体"/>
          <w:b w:val="0"/>
          <w:bCs/>
          <w:color w:val="auto"/>
          <w:lang w:val="en-US" w:eastAsia="zh-CN"/>
        </w:rPr>
        <w:t>陈凯</w:t>
      </w:r>
      <w:r>
        <w:rPr>
          <w:rFonts w:hint="eastAsia" w:ascii="宋体" w:hAnsi="宋体"/>
          <w:b w:val="0"/>
          <w:bCs/>
          <w:color w:val="auto"/>
        </w:rPr>
        <w:t>邮箱。</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白灰、除尘灰倒运项目，分标段：</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1.炼铁部白灰工部生产的白灰倒运至烧结熔剂站。白灰约80-90℃。需罐车2辆，24小时作业，约14车/天。</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2.炼铁部铁区、烧区可回收除尘灰倒运。需使用1部罐车倒运，车辆需满足装料位置尺寸限制。约6-8个小时的作业量，作业时间服从业主安排。约8车/天。</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3.炼铁部高炉重力灰（瓦斯灰）、炼铁部高炉干灰及铁区废灰倒运。自卸车2辆。约120吨/天，约6-8个小时的作业量，作业时间服从业主安排。约8车/天。</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4.烧结（包括两组烧结机机头1#、2#、3#、4#电场）除尘灰及烧结区域范围内管道、料场除尘点及现场清理的废灰等倒运；约6-8个小时的作业量，作业时间服从业主安排，约4车/天。自卸车1辆。</w:t>
      </w:r>
    </w:p>
    <w:p>
      <w:pPr>
        <w:numPr>
          <w:ilvl w:val="0"/>
          <w:numId w:val="0"/>
        </w:numPr>
        <w:spacing w:line="300" w:lineRule="auto"/>
        <w:ind w:firstLine="480" w:firstLineChars="200"/>
        <w:rPr>
          <w:rFonts w:hint="eastAsia" w:ascii="宋体" w:hAnsi="宋体"/>
          <w:b w:val="0"/>
          <w:bCs/>
          <w:color w:val="auto"/>
          <w:lang w:val="en-US" w:eastAsia="zh-CN"/>
        </w:rPr>
      </w:pPr>
      <w:r>
        <w:rPr>
          <w:rFonts w:hint="eastAsia" w:ascii="宋体" w:hAnsi="宋体"/>
          <w:b w:val="0"/>
          <w:bCs/>
          <w:color w:val="auto"/>
          <w:lang w:val="en-US" w:eastAsia="zh-CN"/>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default" w:ascii="宋体" w:hAnsi="宋体" w:eastAsia="宋体" w:cs="宋体"/>
          <w:b w:val="0"/>
          <w:bCs w:val="0"/>
          <w:kern w:val="2"/>
          <w:sz w:val="24"/>
          <w:szCs w:val="24"/>
          <w:lang w:val="en-US" w:eastAsia="zh-CN" w:bidi="ar-SA"/>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bookmarkStart w:id="0" w:name="_GoBack"/>
      <w:bookmarkEnd w:id="0"/>
    </w:p>
    <w:p>
      <w:pPr>
        <w:rPr>
          <w:rFonts w:hint="eastAsia" w:ascii="宋体" w:hAnsi="宋体"/>
        </w:rPr>
      </w:pP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1</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2021</w:t>
      </w:r>
      <w:r>
        <w:rPr>
          <w:rFonts w:ascii="宋体" w:hAnsi="宋体"/>
          <w:b w:val="0"/>
          <w:bCs/>
          <w:color w:val="auto"/>
        </w:rPr>
        <w:t>年</w:t>
      </w:r>
      <w:r>
        <w:rPr>
          <w:rFonts w:hint="eastAsia" w:ascii="宋体" w:hAnsi="宋体"/>
          <w:b w:val="0"/>
          <w:bCs/>
          <w:color w:val="auto"/>
          <w:u w:val="single"/>
          <w:lang w:val="en-US" w:eastAsia="zh-CN"/>
        </w:rPr>
        <w:t>6</w:t>
      </w:r>
      <w:r>
        <w:rPr>
          <w:rFonts w:ascii="宋体" w:hAnsi="宋体"/>
          <w:b w:val="0"/>
          <w:bCs/>
          <w:color w:val="auto"/>
        </w:rPr>
        <w:t>月</w:t>
      </w:r>
      <w:r>
        <w:rPr>
          <w:rFonts w:hint="eastAsia" w:ascii="宋体" w:hAnsi="宋体"/>
          <w:b w:val="0"/>
          <w:bCs/>
          <w:color w:val="auto"/>
          <w:u w:val="single"/>
          <w:lang w:val="en-US" w:eastAsia="zh-CN"/>
        </w:rPr>
        <w:t>2</w:t>
      </w:r>
      <w:r>
        <w:rPr>
          <w:rFonts w:ascii="宋体" w:hAnsi="宋体"/>
          <w:b w:val="0"/>
          <w:bCs/>
          <w:color w:val="auto"/>
        </w:rPr>
        <w:t>日</w:t>
      </w:r>
      <w:r>
        <w:rPr>
          <w:rFonts w:hint="eastAsia" w:ascii="宋体" w:hAnsi="宋体"/>
          <w:b w:val="0"/>
          <w:bCs/>
          <w:color w:val="auto"/>
          <w:u w:val="single"/>
          <w:lang w:val="en-US" w:eastAsia="zh-CN"/>
        </w:rPr>
        <w:t>13:30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Pr>
        <w:tabs>
          <w:tab w:val="left" w:pos="420"/>
          <w:tab w:val="left" w:pos="630"/>
        </w:tabs>
        <w:spacing w:line="300" w:lineRule="auto"/>
        <w:jc w:val="both"/>
        <w:rPr>
          <w:rFonts w:hint="default" w:ascii="宋体" w:hAnsi="宋体"/>
          <w:b/>
          <w:bCs/>
          <w:color w:val="4F81BD"/>
          <w:sz w:val="22"/>
          <w:szCs w:val="22"/>
          <w:lang w:val="en-US" w:eastAsia="zh-CN"/>
        </w:rPr>
      </w:pPr>
      <w:r>
        <w:rPr>
          <w:rFonts w:hint="eastAsia" w:ascii="宋体" w:hAnsi="宋体"/>
          <w:b/>
          <w:bCs/>
          <w:color w:val="4F81BD"/>
          <w:sz w:val="22"/>
          <w:szCs w:val="22"/>
          <w:lang w:val="en-US" w:eastAsia="zh-CN"/>
        </w:rPr>
        <w:t>附件3：报价表</w:t>
      </w:r>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4"/>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eastAsia="宋体"/>
          <w:bCs/>
          <w:sz w:val="32"/>
          <w:lang w:eastAsia="zh-CN"/>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2021</w:t>
      </w:r>
      <w:r>
        <w:rPr>
          <w:rFonts w:hint="eastAsia" w:ascii="宋体" w:hAnsi="宋体"/>
          <w:bCs/>
          <w:color w:val="7030A0"/>
        </w:rPr>
        <w:t>年</w:t>
      </w:r>
      <w:r>
        <w:rPr>
          <w:rFonts w:hint="eastAsia" w:ascii="宋体" w:hAnsi="宋体"/>
          <w:bCs/>
          <w:color w:val="7030A0"/>
          <w:lang w:val="en-US" w:eastAsia="zh-CN"/>
        </w:rPr>
        <w:t>6</w:t>
      </w:r>
      <w:r>
        <w:rPr>
          <w:rFonts w:hint="eastAsia" w:ascii="宋体" w:hAnsi="宋体"/>
          <w:bCs/>
          <w:color w:val="7030A0"/>
        </w:rPr>
        <w:t>月</w:t>
      </w:r>
      <w:r>
        <w:rPr>
          <w:rFonts w:hint="eastAsia" w:ascii="宋体" w:hAnsi="宋体"/>
          <w:bCs/>
          <w:color w:val="7030A0"/>
          <w:u w:val="single"/>
          <w:lang w:val="en-US" w:eastAsia="zh-CN"/>
        </w:rPr>
        <w:t>1</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缴纳此费用（否则视为自动放弃投标资格），注明投标保证金。如未中标，发包人将会无息退还此费用(60日内)，如中标，则在履约保证金足额缴纳后退还</w:t>
      </w:r>
      <w:r>
        <w:rPr>
          <w:rFonts w:hint="eastAsia" w:ascii="宋体" w:hAnsi="宋体"/>
          <w:bCs/>
          <w:lang w:eastAsia="zh-CN"/>
        </w:rPr>
        <w:t>。</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jc w:val="both"/>
        <w:rPr>
          <w:rFonts w:ascii="宋体" w:hAnsi="宋体"/>
        </w:rPr>
      </w:pPr>
      <w:r>
        <w:rPr>
          <w:rFonts w:hint="eastAsia" w:ascii="宋体" w:hAnsi="宋体"/>
        </w:rPr>
        <w:t>具有独立订立合同的权利。</w:t>
      </w:r>
    </w:p>
    <w:p>
      <w:pPr>
        <w:widowControl w:val="0"/>
        <w:numPr>
          <w:ilvl w:val="0"/>
          <w:numId w:val="3"/>
        </w:numPr>
        <w:jc w:val="both"/>
        <w:rPr>
          <w:rFonts w:hint="eastAsia" w:ascii="宋体" w:hAnsi="宋体"/>
          <w:color w:val="FF0000"/>
        </w:rPr>
      </w:pPr>
      <w:r>
        <w:rPr>
          <w:rFonts w:hint="eastAsia" w:ascii="宋体" w:hAnsi="宋体"/>
        </w:rPr>
        <w:t>必须有履约能力和一定垫资能力。</w:t>
      </w:r>
    </w:p>
    <w:p>
      <w:pPr>
        <w:widowControl w:val="0"/>
        <w:numPr>
          <w:ilvl w:val="0"/>
          <w:numId w:val="3"/>
        </w:numPr>
        <w:jc w:val="both"/>
        <w:rPr>
          <w:rFonts w:hint="eastAsia" w:ascii="宋体" w:hAnsi="宋体"/>
          <w:b/>
          <w:color w:val="00B0F0"/>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ind w:left="420" w:firstLine="60" w:firstLineChars="25"/>
        <w:jc w:val="both"/>
        <w:rPr>
          <w:rFonts w:hint="eastAsia" w:ascii="宋体" w:hAnsi="宋体"/>
        </w:rPr>
      </w:pPr>
      <w:r>
        <w:rPr>
          <w:rFonts w:hint="eastAsia" w:ascii="宋体" w:hAnsi="宋体"/>
        </w:rPr>
        <w:t>(1)商务文件：</w:t>
      </w:r>
    </w:p>
    <w:p>
      <w:pPr>
        <w:widowControl w:val="0"/>
        <w:numPr>
          <w:ilvl w:val="0"/>
          <w:numId w:val="4"/>
        </w:numPr>
        <w:ind w:firstLine="120"/>
        <w:jc w:val="both"/>
        <w:rPr>
          <w:rFonts w:ascii="宋体" w:hAnsi="宋体"/>
        </w:rPr>
      </w:pPr>
      <w:r>
        <w:rPr>
          <w:rFonts w:ascii="宋体" w:hAnsi="宋体"/>
        </w:rPr>
        <w:t>投标人必须具备独立法人资格、并能提供正规</w:t>
      </w:r>
      <w:r>
        <w:rPr>
          <w:rFonts w:hint="eastAsia" w:ascii="宋体" w:hAnsi="宋体"/>
        </w:rPr>
        <w:t>运输增值税专用</w:t>
      </w:r>
      <w:r>
        <w:rPr>
          <w:rFonts w:ascii="宋体" w:hAnsi="宋体"/>
        </w:rPr>
        <w:t>发票。</w:t>
      </w:r>
    </w:p>
    <w:p>
      <w:pPr>
        <w:widowControl w:val="0"/>
        <w:numPr>
          <w:ilvl w:val="0"/>
          <w:numId w:val="4"/>
        </w:numPr>
        <w:ind w:firstLine="120"/>
        <w:jc w:val="both"/>
        <w:rPr>
          <w:rFonts w:ascii="宋体" w:hAnsi="宋体"/>
        </w:rPr>
      </w:pPr>
      <w:r>
        <w:rPr>
          <w:rFonts w:hint="eastAsia" w:ascii="宋体" w:hAnsi="宋体" w:cs="宋体"/>
        </w:rPr>
        <w:t>投标单位须提供相关证明材料，如营业执照、</w:t>
      </w:r>
      <w:r>
        <w:rPr>
          <w:rFonts w:hint="eastAsia" w:ascii="宋体" w:hAnsi="宋体"/>
          <w:color w:val="auto"/>
        </w:rPr>
        <w:t>相应的运输许可证</w:t>
      </w:r>
      <w:r>
        <w:rPr>
          <w:rFonts w:hint="eastAsia" w:ascii="宋体" w:hAnsi="宋体" w:cs="宋体"/>
        </w:rPr>
        <w:t>、授权委托书及身份证复印件等，我公司公平交易函。</w:t>
      </w:r>
      <w:r>
        <w:rPr>
          <w:rFonts w:hint="eastAsia" w:ascii="宋体" w:hAnsi="宋体"/>
        </w:rPr>
        <w:t>近几年内与此项目相关的业绩合同。</w:t>
      </w:r>
    </w:p>
    <w:p>
      <w:pPr>
        <w:widowControl w:val="0"/>
        <w:numPr>
          <w:ilvl w:val="0"/>
          <w:numId w:val="4"/>
        </w:numPr>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ind w:firstLine="360" w:firstLineChars="150"/>
        <w:jc w:val="both"/>
        <w:rPr>
          <w:rFonts w:ascii="宋体" w:hAnsi="宋体"/>
          <w:bCs/>
          <w:color w:val="000000"/>
        </w:rPr>
      </w:pPr>
      <w:r>
        <w:rPr>
          <w:rFonts w:hint="eastAsia" w:ascii="宋体" w:hAnsi="宋体"/>
          <w:bCs/>
          <w:color w:val="000000"/>
        </w:rPr>
        <w:t xml:space="preserve"> (2)价格文件：一份即可，必须单独密封。投标人必须填写投标报价表；</w:t>
      </w:r>
    </w:p>
    <w:p>
      <w:pPr>
        <w:widowControl w:val="0"/>
        <w:ind w:left="480"/>
        <w:jc w:val="both"/>
        <w:rPr>
          <w:rFonts w:ascii="宋体" w:hAnsi="宋体"/>
          <w:color w:val="000000"/>
        </w:rPr>
      </w:pPr>
      <w:r>
        <w:rPr>
          <w:rFonts w:hint="eastAsia" w:ascii="宋体" w:hAnsi="宋体"/>
          <w:color w:val="000000"/>
        </w:rPr>
        <w:t>(3)其它文件：包括商务或不满足招标文件的差异说明，招标文件要求具备的其他内容，以及投标人额外承诺或补充说明等。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r>
        <w:rPr>
          <w:rFonts w:hint="eastAsia" w:ascii="宋体" w:hAnsi="宋体"/>
          <w:bCs/>
          <w:lang w:eastAsia="zh-CN"/>
        </w:rPr>
        <w:t>。</w:t>
      </w:r>
      <w:r>
        <w:rPr>
          <w:rFonts w:hint="eastAsia" w:ascii="宋体" w:hAnsi="宋体"/>
          <w:bCs/>
          <w:lang w:val="en-US" w:eastAsia="zh-CN"/>
        </w:rPr>
        <w:t>标书需胶装</w:t>
      </w:r>
      <w:r>
        <w:rPr>
          <w:rFonts w:hint="eastAsia" w:ascii="宋体" w:hAnsi="宋体"/>
          <w:bCs/>
        </w:rPr>
        <w:t>。</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1"/>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1"/>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default" w:ascii="宋体" w:hAnsi="宋体" w:eastAsia="宋体"/>
          <w:b/>
          <w:color w:val="auto"/>
          <w:sz w:val="24"/>
          <w:szCs w:val="24"/>
          <w:lang w:val="en-US" w:eastAsia="zh-CN"/>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w:t>
      </w:r>
      <w:r>
        <w:rPr>
          <w:rFonts w:hint="eastAsia" w:ascii="宋体" w:hAnsi="宋体"/>
          <w:b/>
          <w:color w:val="auto"/>
          <w:sz w:val="24"/>
          <w:szCs w:val="24"/>
          <w:lang w:val="en-US" w:eastAsia="zh-CN"/>
        </w:rPr>
        <w:t>结算及付款条件</w:t>
      </w:r>
    </w:p>
    <w:p>
      <w:pPr>
        <w:spacing w:line="240" w:lineRule="auto"/>
        <w:ind w:firstLine="480" w:firstLineChars="200"/>
        <w:rPr>
          <w:rFonts w:hint="eastAsia" w:ascii="宋体" w:hAnsi="宋体" w:cs="宋体"/>
          <w:color w:val="auto"/>
          <w:sz w:val="24"/>
          <w:szCs w:val="24"/>
          <w:u w:val="none" w:color="auto"/>
          <w:lang w:val="en-US" w:eastAsia="zh-CN"/>
        </w:rPr>
      </w:pPr>
      <w:r>
        <w:rPr>
          <w:rFonts w:hint="eastAsia" w:ascii="宋体" w:hAnsi="宋体" w:cs="宋体"/>
          <w:color w:val="auto"/>
          <w:sz w:val="24"/>
          <w:szCs w:val="24"/>
          <w:u w:val="none" w:color="auto"/>
          <w:lang w:val="en-US" w:eastAsia="zh-CN"/>
        </w:rPr>
        <w:t>投标方按报价表要求报价。中标单位每月10日前将用车部门核准出具的上月结算证明交运输部，经运输部核算金额后再开据有效增值税专用发票。一票结算，收到发票后次月电汇付款。</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三</w:t>
      </w:r>
      <w:r>
        <w:rPr>
          <w:rFonts w:hint="eastAsia" w:ascii="宋体" w:hAnsi="宋体"/>
          <w:b/>
          <w:color w:val="auto"/>
          <w:sz w:val="24"/>
          <w:szCs w:val="24"/>
        </w:rPr>
        <w:t>、评标标准</w:t>
      </w:r>
    </w:p>
    <w:p>
      <w:pPr>
        <w:spacing w:line="240" w:lineRule="auto"/>
        <w:ind w:left="240" w:leftChars="10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42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425" w:leftChars="0" w:hanging="425" w:firstLineChars="0"/>
        <w:rPr>
          <w:color w:val="auto"/>
          <w:sz w:val="24"/>
          <w:szCs w:val="24"/>
        </w:rPr>
      </w:pPr>
      <w:r>
        <w:rPr>
          <w:rFonts w:hint="eastAsia"/>
          <w:color w:val="auto"/>
          <w:sz w:val="24"/>
          <w:szCs w:val="24"/>
        </w:rPr>
        <w:t>评分标准：</w:t>
      </w:r>
      <w:r>
        <w:rPr>
          <w:rFonts w:hint="eastAsia"/>
          <w:color w:val="auto"/>
          <w:sz w:val="24"/>
          <w:szCs w:val="24"/>
          <w:lang w:val="en-US" w:eastAsia="zh-CN"/>
        </w:rPr>
        <w:t>价格70分，及时率、安全等20分，业绩5分，企业信誉5分</w:t>
      </w:r>
      <w:r>
        <w:rPr>
          <w:rFonts w:hint="eastAsia"/>
          <w:color w:val="auto"/>
          <w:sz w:val="24"/>
          <w:szCs w:val="24"/>
        </w:rPr>
        <w:t>。</w:t>
      </w:r>
    </w:p>
    <w:p>
      <w:pPr>
        <w:spacing w:line="240" w:lineRule="auto"/>
        <w:rPr>
          <w:rFonts w:hint="default" w:eastAsia="宋体"/>
          <w:b/>
          <w:color w:val="0000FF"/>
          <w:sz w:val="24"/>
          <w:szCs w:val="24"/>
          <w:lang w:val="en-US" w:eastAsia="zh-CN"/>
        </w:rPr>
      </w:pPr>
      <w:r>
        <w:rPr>
          <w:rFonts w:hint="eastAsia"/>
          <w:b/>
          <w:color w:val="0000FF"/>
          <w:sz w:val="24"/>
          <w:szCs w:val="24"/>
        </w:rPr>
        <w:t>十</w:t>
      </w:r>
      <w:r>
        <w:rPr>
          <w:rFonts w:hint="eastAsia"/>
          <w:b/>
          <w:color w:val="0000FF"/>
          <w:sz w:val="24"/>
          <w:szCs w:val="24"/>
          <w:lang w:val="en-US" w:eastAsia="zh-CN"/>
        </w:rPr>
        <w:t>四</w:t>
      </w:r>
      <w:r>
        <w:rPr>
          <w:rFonts w:hint="eastAsia"/>
          <w:b/>
          <w:color w:val="0000FF"/>
          <w:sz w:val="24"/>
          <w:szCs w:val="24"/>
        </w:rPr>
        <w:t>、其他要求</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1、承揽单位应具备独立承担安全事故风险的经济实力,须向芜湖新兴铸管缴纳安全保障金60万元人民币，应在合同履行前10日从其基本账户转出；须为作业人员购买保险，保额不低于60万元人民币；满 55 周岁的人员不得进入我公司从事作业活动。</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揽单位必须具备24小时服务能力，配备足够作业人员，合理安排班次，作业人员不得疲劳作业，班次调整时不得连续24小时作业。承揽单位应对其作业人员进行与业务相关的安全培训和教育，作业人员上岗前需接受芜湖新兴的安全培训和教育。承揽单位作业人员应持证上岗，车证要相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可回收除尘灰下料口位置狭小，倒运除尘灰罐车需要满足下料空间限制。罐车需证照、保险齐全。罐车安全阀、压力表应定期校验。人员进入罐体需执行公司《有限空间作业安全管理制度》。自卸车需采取机械或电动覆盖措施。</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进厂履约前，承揽单位需按芜湖新兴安全监察部的要求提交相关材料（公司资质文件、安全保障金缴纳记录、作业人员保险、安全生产制度文件、主要负责人及安全生产管理人员资格证书，等等），完成安全资质备案工作，签订安全生产协议书。</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5、承揽单位作业人员、车辆应在合同履行前5日全部到位，以完成人员培训、人员进厂手续及车辆进厂手续等。</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作业期间，因承揽单位自身原因导致安全事故的，由承揽单位自行处理并承担责任，芜湖新兴铸管不负担相关赔偿、补偿责任。事故处理过程中，承揽单位推诿承担责任或难以承担责任时，芜湖新兴铸管以60万元安全保障金及双方发生的业务结算费用协调处理已发生的事故。</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7、作业期间，因承揽单位自身原因造成芜湖新兴铸管经济损失的，承揽单位应予赔偿。</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8、在合同履行中，承揽单位必须遵守芜湖新兴的安全、生产、物流、环保、质量、现场、车辆交通等规章制度。如违反相关规章制度，芜湖新兴将依据规章制度要求给予考核。</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9、合同签订后，因国家政策、芜湖新兴生产经营等客观情况发生较大变化确需改动的，双方可根据具体情况协商解决；协商不成的，可终止合同。</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10、结算方式：按月结算，收票次月付款（转账或现汇）。</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11、合同期：2021年6月28日至2021年12月28日。</w:t>
      </w:r>
    </w:p>
    <w:p>
      <w:pPr>
        <w:spacing w:line="240" w:lineRule="auto"/>
        <w:rPr>
          <w:rFonts w:hint="eastAsia" w:ascii="宋体" w:hAnsi="宋体" w:eastAsia="宋体" w:cs="宋体"/>
          <w:color w:val="auto"/>
          <w:sz w:val="24"/>
          <w:szCs w:val="24"/>
          <w:lang w:val="en-US" w:eastAsia="zh-CN"/>
        </w:rPr>
      </w:pPr>
    </w:p>
    <w:p>
      <w:pPr>
        <w:spacing w:line="240" w:lineRule="auto"/>
        <w:rPr>
          <w:rFonts w:hint="eastAsia"/>
          <w:b/>
          <w:bCs/>
          <w:sz w:val="36"/>
          <w:szCs w:val="36"/>
          <w:lang w:val="en-US" w:eastAsia="zh-CN"/>
        </w:rPr>
      </w:pPr>
      <w:r>
        <w:rPr>
          <w:rFonts w:hint="eastAsia" w:ascii="宋体" w:hAnsi="宋体"/>
          <w:b/>
          <w:color w:val="auto"/>
          <w:sz w:val="24"/>
          <w:szCs w:val="24"/>
          <w:lang w:val="en-US" w:eastAsia="zh-CN"/>
        </w:rPr>
        <w:t>十五、报价表</w:t>
      </w:r>
    </w:p>
    <w:tbl>
      <w:tblPr>
        <w:tblStyle w:val="9"/>
        <w:tblpPr w:leftFromText="180" w:rightFromText="180" w:vertAnchor="text" w:tblpX="11294" w:tblpY="47"/>
        <w:tblOverlap w:val="never"/>
        <w:tblW w:w="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58" w:type="dxa"/>
          </w:tcPr>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p>
            <w:pPr>
              <w:keepNext w:val="0"/>
              <w:keepLines w:val="0"/>
              <w:pageBreakBefore w:val="0"/>
              <w:widowControl w:val="0"/>
              <w:tabs>
                <w:tab w:val="left" w:pos="1977"/>
              </w:tabs>
              <w:kinsoku/>
              <w:wordWrap/>
              <w:overflowPunct/>
              <w:topLinePunct w:val="0"/>
              <w:autoSpaceDE/>
              <w:autoSpaceDN/>
              <w:bidi w:val="0"/>
              <w:adjustRightInd/>
              <w:snapToGrid/>
              <w:spacing w:line="400" w:lineRule="atLeast"/>
              <w:ind w:right="0" w:rightChars="0"/>
              <w:jc w:val="left"/>
              <w:rPr>
                <w:rFonts w:hint="default" w:ascii="Times New Roman" w:hAnsi="Times New Roman" w:cs="Times New Roman"/>
                <w:b w:val="0"/>
                <w:bCs w:val="0"/>
                <w:kern w:val="2"/>
                <w:sz w:val="24"/>
                <w:szCs w:val="24"/>
                <w:vertAlign w:val="baseline"/>
                <w:lang w:val="en-US" w:eastAsia="zh-CN" w:bidi="ar-SA"/>
              </w:rPr>
            </w:pPr>
          </w:p>
        </w:tc>
      </w:tr>
    </w:tbl>
    <w:p>
      <w:pPr>
        <w:widowControl w:val="0"/>
        <w:tabs>
          <w:tab w:val="left" w:pos="420"/>
          <w:tab w:val="left" w:pos="630"/>
        </w:tabs>
        <w:spacing w:line="300" w:lineRule="auto"/>
        <w:jc w:val="center"/>
        <w:rPr>
          <w:rFonts w:hint="eastAsia" w:ascii="Times New Roman" w:hAnsi="Times New Roman" w:cs="Times New Roman"/>
          <w:kern w:val="2"/>
          <w:sz w:val="28"/>
          <w:szCs w:val="24"/>
          <w:u w:val="none"/>
          <w:lang w:eastAsia="zh-CN"/>
        </w:rPr>
      </w:pPr>
      <w:r>
        <w:rPr>
          <w:rFonts w:hint="eastAsia" w:ascii="Times New Roman" w:hAnsi="Times New Roman" w:cs="Times New Roman"/>
          <w:kern w:val="2"/>
          <w:sz w:val="28"/>
          <w:szCs w:val="24"/>
          <w:u w:val="none"/>
          <w:lang w:eastAsia="zh-CN"/>
        </w:rPr>
        <w:t>报价表（</w:t>
      </w:r>
      <w:r>
        <w:rPr>
          <w:rFonts w:hint="eastAsia" w:ascii="Times New Roman" w:hAnsi="Times New Roman" w:cs="Times New Roman"/>
          <w:kern w:val="2"/>
          <w:sz w:val="21"/>
          <w:szCs w:val="20"/>
          <w:u w:val="none"/>
          <w:lang w:eastAsia="zh-CN"/>
        </w:rPr>
        <w:t>不含税，适用税率</w:t>
      </w:r>
      <w:r>
        <w:rPr>
          <w:rFonts w:hint="eastAsia" w:ascii="Times New Roman" w:hAnsi="Times New Roman" w:cs="Times New Roman"/>
          <w:kern w:val="2"/>
          <w:sz w:val="21"/>
          <w:szCs w:val="20"/>
          <w:u w:val="single"/>
          <w:lang w:val="en-US" w:eastAsia="zh-CN"/>
        </w:rPr>
        <w:t xml:space="preserve">    </w:t>
      </w:r>
      <w:r>
        <w:rPr>
          <w:rFonts w:hint="eastAsia" w:ascii="Times New Roman" w:hAnsi="Times New Roman" w:cs="Times New Roman"/>
          <w:kern w:val="2"/>
          <w:sz w:val="28"/>
          <w:szCs w:val="24"/>
          <w:u w:val="none"/>
          <w:lang w:eastAsia="zh-CN"/>
        </w:rPr>
        <w:t>）</w:t>
      </w:r>
    </w:p>
    <w:tbl>
      <w:tblPr>
        <w:tblStyle w:val="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841"/>
        <w:gridCol w:w="1500"/>
        <w:gridCol w:w="384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标段</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项目</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车型</w:t>
            </w:r>
          </w:p>
        </w:tc>
        <w:tc>
          <w:tcPr>
            <w:tcW w:w="3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结算方式</w:t>
            </w: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1</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 xml:space="preserve">  </w:t>
            </w:r>
            <w:r>
              <w:rPr>
                <w:rFonts w:hint="eastAsia" w:ascii="宋体" w:hAnsi="宋体" w:eastAsia="宋体" w:cs="宋体"/>
                <w:b w:val="0"/>
                <w:bCs w:val="0"/>
                <w:color w:val="auto"/>
                <w:sz w:val="21"/>
                <w:szCs w:val="21"/>
                <w:vertAlign w:val="baseline"/>
                <w:lang w:val="en-US" w:eastAsia="zh-CN"/>
              </w:rPr>
              <w:t>炼铁部白灰工部生产的粉灰倒运至烧结熔剂站</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罐车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w:t>
            </w:r>
            <w:r>
              <w:rPr>
                <w:rFonts w:hint="eastAsia" w:ascii="宋体" w:hAnsi="宋体" w:cs="宋体"/>
                <w:b w:val="0"/>
                <w:bCs w:val="0"/>
                <w:color w:val="auto"/>
                <w:sz w:val="21"/>
                <w:szCs w:val="21"/>
                <w:vertAlign w:val="baseline"/>
                <w:lang w:val="en-US" w:eastAsia="zh-CN"/>
              </w:rPr>
              <w:t>2</w:t>
            </w:r>
            <w:r>
              <w:rPr>
                <w:rFonts w:hint="eastAsia" w:ascii="宋体" w:hAnsi="宋体" w:eastAsia="宋体" w:cs="宋体"/>
                <w:b w:val="0"/>
                <w:bCs w:val="0"/>
                <w:color w:val="auto"/>
                <w:sz w:val="21"/>
                <w:szCs w:val="21"/>
                <w:vertAlign w:val="baseline"/>
                <w:lang w:val="en-US" w:eastAsia="zh-CN"/>
              </w:rPr>
              <w:t>辆）</w:t>
            </w:r>
          </w:p>
        </w:tc>
        <w:tc>
          <w:tcPr>
            <w:tcW w:w="3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结算费用=过磅运量*单价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白灰</w:t>
            </w:r>
            <w:r>
              <w:rPr>
                <w:rFonts w:hint="eastAsia" w:ascii="宋体" w:hAnsi="宋体" w:cs="宋体"/>
                <w:b w:val="0"/>
                <w:bCs w:val="0"/>
                <w:color w:val="auto"/>
                <w:sz w:val="21"/>
                <w:szCs w:val="21"/>
                <w:vertAlign w:val="baseline"/>
                <w:lang w:val="en-US" w:eastAsia="zh-CN"/>
              </w:rPr>
              <w:t>倒运</w:t>
            </w:r>
            <w:r>
              <w:rPr>
                <w:rFonts w:hint="eastAsia" w:ascii="宋体" w:hAnsi="宋体" w:eastAsia="宋体" w:cs="宋体"/>
                <w:b w:val="0"/>
                <w:bCs w:val="0"/>
                <w:color w:val="auto"/>
                <w:sz w:val="21"/>
                <w:szCs w:val="21"/>
                <w:vertAlign w:val="baseline"/>
                <w:lang w:val="en-US" w:eastAsia="zh-CN"/>
              </w:rPr>
              <w:t>量约</w:t>
            </w:r>
            <w:r>
              <w:rPr>
                <w:rFonts w:hint="eastAsia" w:ascii="宋体" w:hAnsi="宋体" w:cs="宋体"/>
                <w:b w:val="0"/>
                <w:bCs w:val="0"/>
                <w:color w:val="auto"/>
                <w:sz w:val="21"/>
                <w:szCs w:val="21"/>
                <w:vertAlign w:val="baseline"/>
                <w:lang w:val="en-US" w:eastAsia="zh-CN"/>
              </w:rPr>
              <w:t>2</w:t>
            </w:r>
            <w:r>
              <w:rPr>
                <w:rFonts w:hint="eastAsia" w:ascii="宋体" w:hAnsi="宋体" w:eastAsia="宋体" w:cs="宋体"/>
                <w:b w:val="0"/>
                <w:bCs w:val="0"/>
                <w:color w:val="auto"/>
                <w:sz w:val="21"/>
                <w:szCs w:val="21"/>
                <w:vertAlign w:val="baseline"/>
                <w:lang w:val="en-US" w:eastAsia="zh-CN"/>
              </w:rPr>
              <w:t>万吨/月</w:t>
            </w: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2</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炼铁部铁区、烧区可回收除尘灰倒运</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罐车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w:t>
            </w:r>
            <w:r>
              <w:rPr>
                <w:rFonts w:hint="eastAsia" w:ascii="宋体" w:hAnsi="宋体" w:cs="宋体"/>
                <w:b w:val="0"/>
                <w:bCs w:val="0"/>
                <w:color w:val="auto"/>
                <w:sz w:val="21"/>
                <w:szCs w:val="21"/>
                <w:vertAlign w:val="baseline"/>
                <w:lang w:val="en-US" w:eastAsia="zh-CN"/>
              </w:rPr>
              <w:t>1辆</w:t>
            </w:r>
            <w:r>
              <w:rPr>
                <w:rFonts w:hint="eastAsia" w:ascii="宋体" w:hAnsi="宋体" w:eastAsia="宋体" w:cs="宋体"/>
                <w:b w:val="0"/>
                <w:bCs w:val="0"/>
                <w:color w:val="auto"/>
                <w:sz w:val="21"/>
                <w:szCs w:val="21"/>
                <w:vertAlign w:val="baseline"/>
                <w:lang w:val="en-US" w:eastAsia="zh-CN"/>
              </w:rPr>
              <w:t>）</w:t>
            </w:r>
          </w:p>
        </w:tc>
        <w:tc>
          <w:tcPr>
            <w:tcW w:w="3846" w:type="dxa"/>
            <w:noWrap w:val="0"/>
            <w:vAlign w:val="center"/>
          </w:tcPr>
          <w:p>
            <w:pPr>
              <w:numPr>
                <w:ilvl w:val="0"/>
                <w:numId w:val="0"/>
              </w:numPr>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结算费用=过磅运量*单价</w:t>
            </w:r>
          </w:p>
          <w:p>
            <w:pPr>
              <w:numPr>
                <w:ilvl w:val="0"/>
                <w:numId w:val="0"/>
              </w:numPr>
              <w:spacing w:line="240" w:lineRule="auto"/>
              <w:jc w:val="center"/>
              <w:rPr>
                <w:rFonts w:hint="default" w:ascii="宋体" w:hAnsi="宋体" w:eastAsia="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倒运量约3500吨/月</w:t>
            </w: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3</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炼铁部高炉重力灰（瓦斯灰）、炼铁部高炉干灰及铁区废灰倒运。</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自卸车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（2辆）</w:t>
            </w:r>
          </w:p>
        </w:tc>
        <w:tc>
          <w:tcPr>
            <w:tcW w:w="3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结算费用=铁水产量*单价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铁水产量约25万吨/月</w:t>
            </w: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cs="宋体"/>
                <w:b w:val="0"/>
                <w:bCs w:val="0"/>
                <w:color w:val="auto"/>
                <w:sz w:val="21"/>
                <w:szCs w:val="21"/>
                <w:vertAlign w:val="baseline"/>
                <w:lang w:val="en-US" w:eastAsia="zh-CN"/>
              </w:rPr>
            </w:pPr>
            <w:r>
              <w:rPr>
                <w:rFonts w:hint="eastAsia" w:ascii="宋体" w:hAnsi="宋体" w:cs="宋体"/>
                <w:b w:val="0"/>
                <w:bCs w:val="0"/>
                <w:color w:val="auto"/>
                <w:sz w:val="21"/>
                <w:szCs w:val="21"/>
                <w:vertAlign w:val="baseline"/>
                <w:lang w:val="en-US" w:eastAsia="zh-CN"/>
              </w:rPr>
              <w:t>4</w:t>
            </w:r>
          </w:p>
        </w:tc>
        <w:tc>
          <w:tcPr>
            <w:tcW w:w="2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烧结（包括两组烧结机机头1#、2#、3#、4#电场）除尘灰及烧结区域范围内管道、料场除尘点及现场清理的废灰等倒运</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自卸车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w:t>
            </w:r>
            <w:r>
              <w:rPr>
                <w:rFonts w:hint="eastAsia" w:ascii="宋体" w:hAnsi="宋体" w:cs="宋体"/>
                <w:b w:val="0"/>
                <w:bCs w:val="0"/>
                <w:color w:val="auto"/>
                <w:sz w:val="21"/>
                <w:szCs w:val="21"/>
                <w:vertAlign w:val="baseline"/>
                <w:lang w:val="en-US" w:eastAsia="zh-CN"/>
              </w:rPr>
              <w:t>1</w:t>
            </w:r>
            <w:r>
              <w:rPr>
                <w:rFonts w:hint="eastAsia" w:ascii="宋体" w:hAnsi="宋体" w:eastAsia="宋体" w:cs="宋体"/>
                <w:b w:val="0"/>
                <w:bCs w:val="0"/>
                <w:color w:val="auto"/>
                <w:sz w:val="21"/>
                <w:szCs w:val="21"/>
                <w:vertAlign w:val="baseline"/>
                <w:lang w:val="en-US" w:eastAsia="zh-CN"/>
              </w:rPr>
              <w:t>辆）</w:t>
            </w:r>
          </w:p>
        </w:tc>
        <w:tc>
          <w:tcPr>
            <w:tcW w:w="38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结算费用=烧结毛矿产量*单价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烧结毛矿产量约4</w:t>
            </w:r>
            <w:r>
              <w:rPr>
                <w:rFonts w:hint="eastAsia" w:ascii="宋体" w:hAnsi="宋体" w:cs="宋体"/>
                <w:b w:val="0"/>
                <w:bCs w:val="0"/>
                <w:color w:val="auto"/>
                <w:sz w:val="21"/>
                <w:szCs w:val="21"/>
                <w:vertAlign w:val="baseline"/>
                <w:lang w:val="en-US" w:eastAsia="zh-CN"/>
              </w:rPr>
              <w:t>7</w:t>
            </w:r>
            <w:r>
              <w:rPr>
                <w:rFonts w:hint="eastAsia" w:ascii="宋体" w:hAnsi="宋体" w:eastAsia="宋体" w:cs="宋体"/>
                <w:b w:val="0"/>
                <w:bCs w:val="0"/>
                <w:color w:val="auto"/>
                <w:sz w:val="21"/>
                <w:szCs w:val="21"/>
                <w:vertAlign w:val="baseline"/>
                <w:lang w:val="en-US" w:eastAsia="zh-CN"/>
              </w:rPr>
              <w:t>万吨/月</w:t>
            </w: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color w:val="auto"/>
                <w:sz w:val="21"/>
                <w:szCs w:val="21"/>
                <w:vertAlign w:val="baseline"/>
                <w:lang w:val="en-US" w:eastAsia="zh-CN"/>
              </w:rPr>
            </w:pPr>
          </w:p>
        </w:tc>
      </w:tr>
    </w:tbl>
    <w:p>
      <w:pPr>
        <w:widowControl w:val="0"/>
        <w:tabs>
          <w:tab w:val="left" w:pos="420"/>
          <w:tab w:val="left" w:pos="630"/>
        </w:tabs>
        <w:spacing w:line="300" w:lineRule="auto"/>
        <w:jc w:val="center"/>
        <w:rPr>
          <w:rFonts w:hint="eastAsia" w:ascii="Times New Roman" w:hAnsi="Times New Roman" w:cs="Times New Roman"/>
          <w:kern w:val="2"/>
          <w:sz w:val="28"/>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lang w:val="en-US" w:eastAsia="zh-CN"/>
        </w:rPr>
      </w:pPr>
      <w:r>
        <w:rPr>
          <w:rFonts w:hint="eastAsia" w:ascii="宋体" w:hAnsi="宋体" w:eastAsia="宋体" w:cs="宋体"/>
          <w:color w:val="000000"/>
          <w:lang w:val="en-US" w:eastAsia="zh-CN"/>
        </w:rPr>
        <w:t>注：每个标段单独评标</w:t>
      </w:r>
      <w:r>
        <w:rPr>
          <w:rFonts w:hint="eastAsia" w:ascii="宋体" w:hAnsi="宋体" w:cs="宋体"/>
          <w:color w:val="00000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eastAsia="zh-CN"/>
        </w:rPr>
        <w:t>单位：</w:t>
      </w:r>
      <w:r>
        <w:rPr>
          <w:rFonts w:hint="eastAsia" w:ascii="宋体" w:hAnsi="宋体" w:eastAsia="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r>
        <w:rPr>
          <w:rFonts w:hint="eastAsia" w:ascii="宋体" w:hAnsi="宋体" w:eastAsia="宋体" w:cs="宋体"/>
          <w:color w:val="000000"/>
          <w:lang w:val="en-US" w:eastAsia="zh-CN"/>
        </w:rPr>
        <w:t>日期：</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000000"/>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ascii="宋体" w:hAnsi="宋体"/>
          <w:color w:val="auto"/>
          <w:sz w:val="24"/>
          <w:szCs w:val="24"/>
        </w:rPr>
      </w:pPr>
      <w:r>
        <w:rPr>
          <w:rFonts w:hint="eastAsia" w:ascii="宋体" w:hAnsi="宋体"/>
          <w:color w:val="auto"/>
          <w:sz w:val="24"/>
          <w:szCs w:val="24"/>
          <w:lang w:val="en-US" w:eastAsia="zh-CN"/>
        </w:rPr>
        <w:t xml:space="preserve">                                                      2021</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25</w:t>
      </w:r>
      <w:r>
        <w:rPr>
          <w:rFonts w:ascii="宋体" w:hAnsi="宋体"/>
          <w:color w:val="auto"/>
          <w:sz w:val="24"/>
          <w:szCs w:val="24"/>
        </w:rPr>
        <w:t>日</w:t>
      </w:r>
    </w:p>
    <w:p>
      <w:pPr>
        <w:rPr>
          <w:rFonts w:hint="eastAsia" w:ascii="仿宋_GB2312" w:eastAsia="仿宋_GB2312"/>
          <w:b/>
          <w:sz w:val="28"/>
          <w:szCs w:val="28"/>
        </w:rPr>
      </w:pPr>
      <w:r>
        <w:rPr>
          <w:rFonts w:hint="eastAsia" w:ascii="仿宋_GB2312" w:eastAsia="仿宋_GB2312"/>
          <w:b/>
          <w:sz w:val="28"/>
          <w:szCs w:val="28"/>
        </w:rPr>
        <w:br w:type="page"/>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4.6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chenkai0324@163.com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shd w:val="clear" w:color="auto" w:fill="FFFFFF"/>
        <w:spacing w:line="360" w:lineRule="auto"/>
        <w:ind w:firstLine="4480" w:firstLineChars="1600"/>
        <w:rPr>
          <w:b/>
          <w:sz w:val="28"/>
          <w:szCs w:val="28"/>
        </w:rPr>
      </w:pPr>
      <w:r>
        <w:rPr>
          <w:rFonts w:hint="eastAsia" w:ascii="仿宋_GB2312" w:eastAsia="仿宋_GB2312"/>
          <w:sz w:val="28"/>
          <w:szCs w:val="28"/>
        </w:rPr>
        <w:t>签字日期：</w:t>
      </w:r>
    </w:p>
    <w:p>
      <w:pPr>
        <w:shd w:val="clear" w:color="auto" w:fill="FFFFFF"/>
        <w:spacing w:line="600" w:lineRule="atLeast"/>
        <w:rPr>
          <w:rFonts w:ascii="宋体" w:hAnsi="宋体" w:cs="宋体"/>
          <w:b/>
          <w:bCs/>
          <w:color w:val="2A2A2A"/>
          <w:sz w:val="28"/>
          <w:szCs w:val="28"/>
          <w:shd w:val="clear" w:color="auto" w:fill="FFFFFF"/>
        </w:rPr>
      </w:pPr>
    </w:p>
    <w:p>
      <w:pPr>
        <w:spacing w:line="583" w:lineRule="exact"/>
        <w:ind w:right="100"/>
        <w:rPr>
          <w:rFonts w:hint="eastAsia" w:ascii="微软雅黑" w:eastAsia="微软雅黑"/>
          <w:bCs/>
          <w:szCs w:val="21"/>
        </w:rPr>
      </w:pPr>
    </w:p>
    <w:p>
      <w:pPr>
        <w:spacing w:line="583" w:lineRule="exact"/>
        <w:ind w:right="100"/>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lang w:val="zh-CN" w:bidi="zh-CN"/>
        </w:rPr>
      </w:pPr>
      <w:r>
        <w:rPr>
          <w:rFonts w:hint="eastAsia" w:ascii="宋体" w:hAnsi="宋体" w:cs="宋体"/>
          <w:spacing w:val="5"/>
          <w:w w:val="95"/>
          <w:lang w:val="zh-CN" w:bidi="zh-CN"/>
        </w:rPr>
        <w:t>公平交易承诺函</w:t>
      </w:r>
    </w:p>
    <w:p>
      <w:pPr>
        <w:pStyle w:val="3"/>
        <w:ind w:left="113"/>
        <w:rPr>
          <w:spacing w:val="5"/>
          <w:w w:val="95"/>
          <w:sz w:val="24"/>
          <w:szCs w:val="24"/>
        </w:rPr>
      </w:pPr>
      <w:r>
        <w:rPr>
          <w:spacing w:val="5"/>
          <w:w w:val="95"/>
          <w:sz w:val="24"/>
          <w:szCs w:val="24"/>
        </w:rPr>
        <w:t>尊敬的合作单位：</w:t>
      </w:r>
    </w:p>
    <w:p>
      <w:pPr>
        <w:pStyle w:val="3"/>
        <w:spacing w:before="146"/>
        <w:ind w:left="675"/>
        <w:rPr>
          <w:spacing w:val="5"/>
          <w:w w:val="95"/>
          <w:sz w:val="24"/>
          <w:szCs w:val="24"/>
        </w:rPr>
      </w:pPr>
      <w:r>
        <w:rPr>
          <w:spacing w:val="5"/>
          <w:w w:val="95"/>
          <w:sz w:val="24"/>
          <w:szCs w:val="24"/>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中止与对方一切业务合同执行；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将对方永久列入公司黑名册；</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扣除对方保证金，冻结对方在我公司的所有合同款项；</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widowControl w:val="0"/>
        <w:numPr>
          <w:ilvl w:val="0"/>
          <w:numId w:val="10"/>
        </w:numPr>
        <w:spacing w:before="140" w:line="333" w:lineRule="auto"/>
        <w:ind w:left="113" w:right="209" w:firstLine="561"/>
        <w:jc w:val="both"/>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widowControl w:val="0"/>
        <w:spacing w:line="400" w:lineRule="atLeast"/>
        <w:jc w:val="center"/>
        <w:rPr>
          <w:rFonts w:hint="eastAsia" w:ascii="宋体" w:hAnsi="宋体"/>
          <w:color w:val="auto"/>
          <w:sz w:val="24"/>
          <w:szCs w:val="24"/>
        </w:rPr>
      </w:pPr>
    </w:p>
    <w:p/>
    <w:p/>
    <w:p/>
    <w:p/>
    <w:p/>
    <w:p/>
    <w:p/>
    <w:p/>
    <w:p/>
    <w:p/>
    <w:p/>
    <w:p/>
    <w:p/>
    <w:p>
      <w:pPr>
        <w:pStyle w:val="2"/>
        <w:widowControl/>
        <w:jc w:val="center"/>
        <w:rPr>
          <w:sz w:val="28"/>
          <w:szCs w:val="28"/>
        </w:rPr>
      </w:pPr>
      <w:r>
        <w:rPr>
          <w:sz w:val="28"/>
          <w:szCs w:val="28"/>
        </w:rPr>
        <w:t>法人授权委托书</w:t>
      </w:r>
    </w:p>
    <w:p>
      <w:pPr>
        <w:pStyle w:val="7"/>
        <w:widowControl/>
        <w:ind w:firstLine="420"/>
        <w:rPr>
          <w:sz w:val="28"/>
          <w:szCs w:val="28"/>
        </w:rPr>
      </w:pPr>
      <w:r>
        <w:rPr>
          <w:sz w:val="28"/>
          <w:szCs w:val="28"/>
        </w:rPr>
        <w:t xml:space="preserve">委托单位：    </w:t>
      </w:r>
    </w:p>
    <w:p>
      <w:pPr>
        <w:pStyle w:val="7"/>
        <w:widowControl/>
        <w:ind w:firstLine="420"/>
        <w:rPr>
          <w:sz w:val="28"/>
          <w:szCs w:val="28"/>
        </w:rPr>
      </w:pPr>
      <w:r>
        <w:rPr>
          <w:sz w:val="28"/>
          <w:szCs w:val="28"/>
        </w:rPr>
        <w:t>法定代表人：</w:t>
      </w:r>
    </w:p>
    <w:p>
      <w:pPr>
        <w:pStyle w:val="7"/>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7"/>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7"/>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7"/>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7"/>
        <w:widowControl/>
        <w:ind w:firstLine="420"/>
        <w:rPr>
          <w:rFonts w:hint="eastAsia"/>
          <w:sz w:val="28"/>
          <w:szCs w:val="28"/>
        </w:rPr>
      </w:pPr>
      <w:r>
        <w:rPr>
          <w:sz w:val="28"/>
          <w:szCs w:val="28"/>
        </w:rPr>
        <w:t>法人授权责任人身份证复印件</w:t>
      </w:r>
      <w:r>
        <w:rPr>
          <w:rFonts w:hint="eastAsia"/>
          <w:sz w:val="28"/>
          <w:szCs w:val="28"/>
        </w:rPr>
        <w:t>：</w:t>
      </w:r>
    </w:p>
    <w:p>
      <w:pPr>
        <w:pStyle w:val="7"/>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hLLoGT8CAACy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tHdNTE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a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LR3TUx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7"/>
        <w:widowControl/>
        <w:ind w:firstLine="420"/>
      </w:pPr>
    </w:p>
    <w:p>
      <w:pPr>
        <w:pStyle w:val="7"/>
        <w:widowControl/>
      </w:pPr>
    </w:p>
    <w:p>
      <w:pPr>
        <w:pStyle w:val="7"/>
        <w:widowControl/>
        <w:ind w:firstLine="420"/>
      </w:pPr>
    </w:p>
    <w:p>
      <w:pPr>
        <w:pStyle w:val="7"/>
        <w:widowControl/>
        <w:ind w:firstLine="420"/>
      </w:pPr>
      <w:r>
        <w:t>委托单位： (盖</w:t>
      </w:r>
      <w:r>
        <w:rPr>
          <w:rFonts w:hint="eastAsia"/>
        </w:rPr>
        <w:t>公</w:t>
      </w:r>
      <w:r>
        <w:t>章)</w:t>
      </w:r>
    </w:p>
    <w:p>
      <w:pPr>
        <w:pStyle w:val="7"/>
        <w:widowControl/>
        <w:ind w:firstLine="420"/>
      </w:pPr>
      <w:r>
        <w:t>法定代表人： (签名或盖章)</w:t>
      </w:r>
    </w:p>
    <w:p>
      <w:pPr>
        <w:pStyle w:val="7"/>
        <w:widowControl/>
        <w:ind w:firstLine="420"/>
      </w:pPr>
      <w:r>
        <w:t>法人授权责任人：(签名或盖章)</w:t>
      </w:r>
    </w:p>
    <w:p>
      <w:pPr>
        <w:pStyle w:val="7"/>
        <w:widowControl/>
        <w:ind w:firstLine="960" w:firstLineChars="400"/>
        <w:rPr>
          <w:rFonts w:hint="eastAsia" w:ascii="仿宋_GB2312" w:eastAsia="仿宋_GB2312"/>
          <w:sz w:val="28"/>
          <w:szCs w:val="28"/>
        </w:rPr>
      </w:pPr>
      <w:r>
        <w:t xml:space="preserve">年 </w:t>
      </w:r>
      <w:r>
        <w:rPr>
          <w:rFonts w:hint="eastAsia"/>
        </w:rPr>
        <w:t xml:space="preserve">  </w:t>
      </w:r>
      <w:r>
        <w:t xml:space="preserve">月 </w:t>
      </w:r>
      <w:r>
        <w:rPr>
          <w:rFonts w:hint="eastAsia"/>
        </w:rPr>
        <w:t xml:space="preserve">   </w:t>
      </w:r>
      <w: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3">
    <w:nsid w:val="D639B689"/>
    <w:multiLevelType w:val="singleLevel"/>
    <w:tmpl w:val="D639B689"/>
    <w:lvl w:ilvl="0" w:tentative="0">
      <w:start w:val="1"/>
      <w:numFmt w:val="decimal"/>
      <w:suff w:val="nothing"/>
      <w:lvlText w:val="%1、"/>
      <w:lvlJc w:val="left"/>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8">
    <w:nsid w:val="48E7AE87"/>
    <w:multiLevelType w:val="singleLevel"/>
    <w:tmpl w:val="48E7AE87"/>
    <w:lvl w:ilvl="0" w:tentative="0">
      <w:start w:val="1"/>
      <w:numFmt w:val="decimal"/>
      <w:lvlText w:val="%1."/>
      <w:lvlJc w:val="left"/>
      <w:pPr>
        <w:ind w:left="425" w:hanging="425"/>
      </w:pPr>
      <w:rPr>
        <w:rFonts w:hint="default"/>
      </w:rPr>
    </w:lvl>
  </w:abstractNum>
  <w:abstractNum w:abstractNumId="9">
    <w:nsid w:val="6A18A551"/>
    <w:multiLevelType w:val="singleLevel"/>
    <w:tmpl w:val="6A18A551"/>
    <w:lvl w:ilvl="0" w:tentative="0">
      <w:start w:val="1"/>
      <w:numFmt w:val="decimal"/>
      <w:suff w:val="nothing"/>
      <w:lvlText w:val="%1．"/>
      <w:lvlJc w:val="left"/>
      <w:pPr>
        <w:ind w:left="0" w:firstLine="400"/>
      </w:pPr>
      <w:rPr>
        <w:rFonts w:hint="default"/>
      </w:rPr>
    </w:lvl>
  </w:abstractNum>
  <w:num w:numId="1">
    <w:abstractNumId w:val="4"/>
    <w:lvlOverride w:ilvl="0">
      <w:startOverride w:val="1"/>
    </w:lvlOverride>
  </w:num>
  <w:num w:numId="2">
    <w:abstractNumId w:val="7"/>
    <w:lvlOverride w:ilvl="0">
      <w:startOverride w:val="1"/>
    </w:lvlOverride>
  </w:num>
  <w:num w:numId="3">
    <w:abstractNumId w:val="6"/>
    <w:lvlOverride w:ilvl="0">
      <w:startOverride w:val="1"/>
    </w:lvlOverride>
  </w:num>
  <w:num w:numId="4">
    <w:abstractNumId w:val="5"/>
  </w:num>
  <w:num w:numId="5">
    <w:abstractNumId w:val="2"/>
  </w:num>
  <w:num w:numId="6">
    <w:abstractNumId w:val="1"/>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3811223"/>
    <w:rsid w:val="03F43CFD"/>
    <w:rsid w:val="055D2EB0"/>
    <w:rsid w:val="0C333A20"/>
    <w:rsid w:val="0C460FFE"/>
    <w:rsid w:val="10772EB5"/>
    <w:rsid w:val="11DE5603"/>
    <w:rsid w:val="13BA318B"/>
    <w:rsid w:val="152B2857"/>
    <w:rsid w:val="16AA6B17"/>
    <w:rsid w:val="1C1D6140"/>
    <w:rsid w:val="1C28711D"/>
    <w:rsid w:val="1F415A0F"/>
    <w:rsid w:val="1FC61767"/>
    <w:rsid w:val="234F5E22"/>
    <w:rsid w:val="23F27268"/>
    <w:rsid w:val="252D19D6"/>
    <w:rsid w:val="25A87FB8"/>
    <w:rsid w:val="25F13BFC"/>
    <w:rsid w:val="26BC6801"/>
    <w:rsid w:val="2D230D73"/>
    <w:rsid w:val="2DFD089F"/>
    <w:rsid w:val="2E34761D"/>
    <w:rsid w:val="30033579"/>
    <w:rsid w:val="32216798"/>
    <w:rsid w:val="323F2693"/>
    <w:rsid w:val="34FF5DC8"/>
    <w:rsid w:val="390D4485"/>
    <w:rsid w:val="3A4B4F63"/>
    <w:rsid w:val="3C09736A"/>
    <w:rsid w:val="3F114200"/>
    <w:rsid w:val="41417945"/>
    <w:rsid w:val="41DB42F4"/>
    <w:rsid w:val="454E4D64"/>
    <w:rsid w:val="46F31726"/>
    <w:rsid w:val="476201D7"/>
    <w:rsid w:val="4C62699D"/>
    <w:rsid w:val="513C3EF8"/>
    <w:rsid w:val="53D27EE3"/>
    <w:rsid w:val="556B3A6A"/>
    <w:rsid w:val="584B20E6"/>
    <w:rsid w:val="589B3C10"/>
    <w:rsid w:val="594C0BD6"/>
    <w:rsid w:val="5B2D6E0C"/>
    <w:rsid w:val="5DA113C7"/>
    <w:rsid w:val="5DA500D7"/>
    <w:rsid w:val="5F7A65EB"/>
    <w:rsid w:val="603E0EA5"/>
    <w:rsid w:val="607D1710"/>
    <w:rsid w:val="62CA5CF7"/>
    <w:rsid w:val="6D663618"/>
    <w:rsid w:val="71CE0F14"/>
    <w:rsid w:val="72735945"/>
    <w:rsid w:val="737502D4"/>
    <w:rsid w:val="74965A4A"/>
    <w:rsid w:val="76892D68"/>
    <w:rsid w:val="77140B96"/>
    <w:rsid w:val="772E1C21"/>
    <w:rsid w:val="7A2558BE"/>
    <w:rsid w:val="7C736239"/>
    <w:rsid w:val="7E83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2021-05-25T01:27:15Z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9810F037509D4CBD9CAF2585310DCE3B</vt:lpwstr>
  </property>
</Properties>
</file>