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棒材钢坯倒运项目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4</w:t>
      </w:r>
      <w:r>
        <w:rPr>
          <w:rFonts w:ascii="宋体" w:hAnsi="宋体"/>
          <w:color w:val="000000"/>
        </w:rPr>
        <w:t>月</w:t>
      </w:r>
      <w:r>
        <w:rPr>
          <w:rFonts w:hint="eastAsia" w:ascii="宋体" w:hAnsi="宋体"/>
          <w:color w:val="000000"/>
          <w:lang w:val="en-US" w:eastAsia="zh-CN"/>
        </w:rPr>
        <w:t>20</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YSQC202105007BCGPDYXM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w:t>
      </w:r>
      <w:r>
        <w:rPr>
          <w:rFonts w:hint="eastAsia"/>
          <w:sz w:val="24"/>
          <w:szCs w:val="24"/>
          <w:u w:val="single"/>
          <w:lang w:eastAsia="zh-CN"/>
        </w:rPr>
        <w:t>棒材钢坯倒运项目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1、小棒生产线成品钢材倒运至钢材库及临时存放点；中棒库房零星移库作业等。4部13米平板。日常需求量1辆—2辆即可满足要求，在没有锚杆火车和零星圆钢倒运时，不需要派遣车辆；小棒圆钢生产时，需要4辆，分批次连续倒运，一般每月生产2-3次。</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2、轧钢部倒运棒材、钢坯等。2部13米平板，24小时作业。</w:t>
      </w:r>
    </w:p>
    <w:p>
      <w:pPr>
        <w:spacing w:line="300" w:lineRule="auto"/>
        <w:ind w:firstLine="600"/>
        <w:rPr>
          <w:rFonts w:hint="eastAsia" w:ascii="宋体" w:hAnsi="宋体"/>
          <w:b w:val="0"/>
          <w:bCs/>
          <w:color w:val="auto"/>
          <w:lang w:val="en-US" w:eastAsia="zh-CN"/>
        </w:rPr>
      </w:pPr>
      <w:r>
        <w:rPr>
          <w:rFonts w:hint="eastAsia" w:ascii="宋体" w:hAnsi="宋体"/>
          <w:b w:val="0"/>
          <w:bCs/>
          <w:color w:val="auto"/>
          <w:lang w:val="en-US" w:eastAsia="zh-CN"/>
        </w:rPr>
        <w:t>3、临时用车。13米半挂。按小时结算费用，提前告知用车需求。</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7</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val="0"/>
          <w:bCs/>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13</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spacing w:line="300" w:lineRule="auto"/>
        <w:ind w:firstLine="600"/>
        <w:rPr>
          <w:rFonts w:hint="eastAsia" w:ascii="宋体" w:hAnsi="宋体"/>
          <w:b/>
          <w:color w:val="000000"/>
        </w:rPr>
      </w:pP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壹拾万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 xml:space="preserve">年 </w:t>
      </w:r>
      <w:r>
        <w:rPr>
          <w:rFonts w:hint="eastAsia" w:ascii="宋体" w:hAnsi="宋体"/>
          <w:bCs/>
          <w:color w:val="7030A0"/>
          <w:u w:val="single"/>
          <w:lang w:val="en-US" w:eastAsia="zh-CN"/>
        </w:rPr>
        <w:t>5</w:t>
      </w:r>
      <w:r>
        <w:rPr>
          <w:rFonts w:hint="eastAsia" w:ascii="宋体" w:hAnsi="宋体"/>
          <w:bCs/>
          <w:color w:val="7030A0"/>
        </w:rPr>
        <w:t>月</w:t>
      </w:r>
      <w:r>
        <w:rPr>
          <w:rFonts w:hint="eastAsia" w:ascii="宋体" w:hAnsi="宋体"/>
          <w:bCs/>
          <w:color w:val="7030A0"/>
          <w:u w:val="single"/>
          <w:lang w:val="en-US" w:eastAsia="zh-CN"/>
        </w:rPr>
        <w:t>7</w:t>
      </w:r>
      <w:bookmarkStart w:id="0" w:name="_GoBack"/>
      <w:bookmarkEnd w:id="0"/>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1、承揽单位应具备独立承担安全事故风险的经济实力,须向芜湖新兴铸管缴纳安全保障金60万元人民币，应在合同履行前10日从其基本账户转出；须为作业人员购买保险，保额不低于60万元人民币；满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承揽单位作业人员应持证上岗，车证要相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承揽单位作业车辆须符合法律法规要求、符合公司车辆管理要求。车辆须达到国五及以上排放标准，应根据芜湖新兴铸管的需要提供排放达标的证明材料。车辆因维修、保养不能作业时，承揽单位应及时安排备用车辆作业，以保证芜湖新兴正常生产。</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4、合同履约保证金为10万元人民币，承揽单位应在合同订立前从其基本账户转出。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进厂履约前，承揽单位需按芜湖新兴安全监察部的要求提交相关材料（公司资质文件、安全保障金缴纳记录、作业人员保险、安全生产制度文件、主要负责人及安全生产管理人员资格证书，等等），完成安全资质备案工作，签订安全生产协议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6、承揽单位作业人员、车辆应在合同履行前10日全部到位，以完成人员培训、人员进厂手续及车辆进厂手续等。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8、作业期间，因承揽单位自身原因造成芜湖新兴铸管经济损失的，承揽单位应予赔偿。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9、在合同履行中，承揽单位必须遵守芜湖新兴的安全、生产、环保、质量、现场、车辆交通等规章制度。如违反相关规章制度，芜湖新兴将依据规章制度要求给予考核。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10、合同签订后，因国家政策、芜湖新兴生产经营等客观情况发生较大变化确需改动的，双方可根据具体情况协商解决；协商不成的，可终止合同。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11、结算方式：按月结算，收票次月付款（转账或现汇）。</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12、合同期：2021年6月28日----2023年6月27日。</w:t>
      </w:r>
    </w:p>
    <w:p>
      <w:pPr>
        <w:spacing w:line="240" w:lineRule="auto"/>
        <w:rPr>
          <w:rFonts w:hint="eastAsia" w:ascii="宋体" w:hAnsi="宋体" w:eastAsia="宋体" w:cs="宋体"/>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000000"/>
          <w:sz w:val="24"/>
          <w:szCs w:val="24"/>
        </w:rPr>
      </w:pPr>
    </w:p>
    <w:p>
      <w:pPr>
        <w:widowControl w:val="0"/>
        <w:tabs>
          <w:tab w:val="left" w:pos="420"/>
          <w:tab w:val="left" w:pos="630"/>
        </w:tabs>
        <w:spacing w:line="300" w:lineRule="auto"/>
        <w:jc w:val="center"/>
        <w:rPr>
          <w:rFonts w:hint="eastAsia" w:ascii="宋体" w:hAnsi="宋体" w:cs="宋体"/>
          <w:color w:val="auto"/>
          <w:kern w:val="2"/>
          <w:sz w:val="24"/>
          <w:szCs w:val="22"/>
          <w:lang w:val="en-US" w:eastAsia="zh-CN"/>
        </w:rPr>
      </w:pPr>
      <w:r>
        <w:rPr>
          <w:rFonts w:hint="eastAsia" w:ascii="Times New Roman" w:hAnsi="Times New Roman" w:cs="Times New Roman"/>
          <w:kern w:val="2"/>
          <w:sz w:val="28"/>
          <w:szCs w:val="24"/>
          <w:u w:val="none"/>
          <w:lang w:eastAsia="zh-CN"/>
        </w:rPr>
        <w:t>报价表（</w:t>
      </w:r>
      <w:r>
        <w:rPr>
          <w:rFonts w:hint="eastAsia" w:ascii="Times New Roman" w:hAnsi="Times New Roman" w:cs="Times New Roman"/>
          <w:kern w:val="2"/>
          <w:sz w:val="21"/>
          <w:szCs w:val="20"/>
          <w:u w:val="none"/>
          <w:lang w:eastAsia="zh-CN"/>
        </w:rPr>
        <w:t>不含税，适用税率</w:t>
      </w:r>
      <w:r>
        <w:rPr>
          <w:rFonts w:hint="eastAsia" w:ascii="Times New Roman" w:hAnsi="Times New Roman" w:cs="Times New Roman"/>
          <w:kern w:val="2"/>
          <w:sz w:val="21"/>
          <w:szCs w:val="20"/>
          <w:u w:val="single"/>
          <w:lang w:val="en-US" w:eastAsia="zh-CN"/>
        </w:rPr>
        <w:t xml:space="preserve">    </w:t>
      </w:r>
      <w:r>
        <w:rPr>
          <w:rFonts w:hint="eastAsia" w:ascii="Times New Roman" w:hAnsi="Times New Roman" w:cs="Times New Roman"/>
          <w:kern w:val="2"/>
          <w:sz w:val="28"/>
          <w:szCs w:val="24"/>
          <w:u w:val="none"/>
          <w:lang w:eastAsia="zh-CN"/>
        </w:rPr>
        <w:t>）</w:t>
      </w:r>
    </w:p>
    <w:tbl>
      <w:tblPr>
        <w:tblStyle w:val="8"/>
        <w:tblpPr w:leftFromText="180" w:rightFromText="180" w:vertAnchor="text" w:horzAnchor="page" w:tblpX="988" w:tblpY="235"/>
        <w:tblOverlap w:val="never"/>
        <w:tblW w:w="9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02"/>
        <w:gridCol w:w="2790"/>
        <w:gridCol w:w="1470"/>
        <w:gridCol w:w="3444"/>
        <w:gridCol w:w="925"/>
        <w:gridCol w:w="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93" w:hRule="atLeast"/>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b w:val="0"/>
                <w:bCs w:val="0"/>
                <w:i w:val="0"/>
                <w:snapToGrid/>
                <w:color w:val="auto"/>
                <w:sz w:val="24"/>
                <w:szCs w:val="24"/>
                <w:u w:val="none"/>
                <w:lang w:eastAsia="zh-CN"/>
              </w:rPr>
            </w:pPr>
            <w:r>
              <w:rPr>
                <w:rFonts w:hint="eastAsia" w:ascii="宋体" w:hAnsi="宋体"/>
                <w:b w:val="0"/>
                <w:bCs w:val="0"/>
                <w:i w:val="0"/>
                <w:snapToGrid/>
                <w:color w:val="auto"/>
                <w:sz w:val="24"/>
                <w:szCs w:val="24"/>
                <w:u w:val="none"/>
                <w:lang w:eastAsia="zh-CN"/>
              </w:rPr>
              <w:t>序号</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color w:val="auto"/>
                <w:sz w:val="24"/>
                <w:szCs w:val="24"/>
              </w:rPr>
            </w:pPr>
            <w:r>
              <w:rPr>
                <w:rFonts w:hint="eastAsia" w:ascii="宋体" w:hAnsi="宋体" w:eastAsia="宋体"/>
                <w:b w:val="0"/>
                <w:bCs w:val="0"/>
                <w:i w:val="0"/>
                <w:snapToGrid/>
                <w:color w:val="auto"/>
                <w:sz w:val="24"/>
                <w:szCs w:val="24"/>
                <w:u w:val="none"/>
                <w:lang w:eastAsia="zh-CN"/>
              </w:rPr>
              <w:t>业务内容</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color w:val="auto"/>
                <w:sz w:val="24"/>
                <w:szCs w:val="24"/>
              </w:rPr>
            </w:pPr>
            <w:r>
              <w:rPr>
                <w:rFonts w:hint="default" w:ascii="宋体" w:hAnsi="宋体" w:eastAsia="宋体"/>
                <w:b w:val="0"/>
                <w:bCs w:val="0"/>
                <w:i w:val="0"/>
                <w:snapToGrid/>
                <w:color w:val="auto"/>
                <w:sz w:val="24"/>
                <w:szCs w:val="24"/>
                <w:u w:val="none"/>
                <w:lang w:eastAsia="zh-CN"/>
              </w:rPr>
              <w:t>车型</w:t>
            </w: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eastAsia="宋体"/>
                <w:b w:val="0"/>
                <w:bCs w:val="0"/>
                <w:snapToGrid/>
                <w:color w:val="auto"/>
                <w:sz w:val="24"/>
                <w:szCs w:val="24"/>
                <w:lang w:eastAsia="zh-CN"/>
              </w:rPr>
            </w:pPr>
            <w:r>
              <w:rPr>
                <w:rFonts w:hint="eastAsia" w:ascii="宋体" w:hAnsi="宋体"/>
                <w:b w:val="0"/>
                <w:bCs w:val="0"/>
                <w:snapToGrid/>
                <w:color w:val="auto"/>
                <w:sz w:val="24"/>
                <w:szCs w:val="24"/>
                <w:lang w:eastAsia="zh-CN"/>
              </w:rPr>
              <w:t>结算方式</w:t>
            </w:r>
          </w:p>
        </w:tc>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r>
              <w:rPr>
                <w:rFonts w:hint="default" w:ascii="宋体" w:hAnsi="宋体" w:eastAsia="宋体"/>
                <w:b w:val="0"/>
                <w:bCs w:val="0"/>
                <w:i w:val="0"/>
                <w:snapToGrid/>
                <w:color w:val="auto"/>
                <w:sz w:val="24"/>
                <w:szCs w:val="24"/>
                <w:u w:val="none"/>
                <w:lang w:eastAsia="zh-CN"/>
              </w:rPr>
              <w:t>单</w:t>
            </w:r>
            <w:r>
              <w:rPr>
                <w:rFonts w:hint="eastAsia" w:ascii="宋体" w:hAnsi="宋体" w:eastAsia="宋体"/>
                <w:b w:val="0"/>
                <w:bCs w:val="0"/>
                <w:i w:val="0"/>
                <w:snapToGrid/>
                <w:color w:val="auto"/>
                <w:sz w:val="24"/>
                <w:szCs w:val="24"/>
                <w:u w:val="none"/>
                <w:lang w:val="en-US" w:eastAsia="zh-CN"/>
              </w:rPr>
              <w:t xml:space="preserve"> </w:t>
            </w:r>
            <w:r>
              <w:rPr>
                <w:rFonts w:hint="default" w:ascii="宋体" w:hAnsi="宋体" w:eastAsia="宋体"/>
                <w:b w:val="0"/>
                <w:bCs w:val="0"/>
                <w:i w:val="0"/>
                <w:snapToGrid/>
                <w:color w:val="auto"/>
                <w:sz w:val="24"/>
                <w:szCs w:val="24"/>
                <w:u w:val="none"/>
                <w:lang w:eastAsia="zh-CN"/>
              </w:rPr>
              <w:t>价</w:t>
            </w:r>
          </w:p>
        </w:tc>
        <w:tc>
          <w:tcPr>
            <w:tcW w:w="7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b w:val="0"/>
                <w:bCs w:val="0"/>
                <w:snapToGrid/>
                <w:color w:val="auto"/>
                <w:sz w:val="24"/>
                <w:szCs w:val="24"/>
              </w:rPr>
            </w:pPr>
            <w:r>
              <w:rPr>
                <w:rFonts w:hint="eastAsia" w:ascii="宋体" w:hAnsi="宋体"/>
                <w:b w:val="0"/>
                <w:bCs w:val="0"/>
                <w:i w:val="0"/>
                <w:snapToGrid/>
                <w:color w:val="auto"/>
                <w:sz w:val="24"/>
                <w:szCs w:val="24"/>
                <w:u w:val="none"/>
                <w:lang w:eastAsia="zh-CN"/>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8" w:hRule="atLeast"/>
        </w:trPr>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小棒生产线成品钢材倒运至钢材库及临时存放点；中棒库房零星移库作业等</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13米平板</w:t>
            </w:r>
          </w:p>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（4辆）</w:t>
            </w:r>
          </w:p>
        </w:tc>
        <w:tc>
          <w:tcPr>
            <w:tcW w:w="3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结算费用=倒运吨位*单价</w:t>
            </w:r>
          </w:p>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约2.5万吨/月</w:t>
            </w:r>
          </w:p>
        </w:tc>
        <w:tc>
          <w:tcPr>
            <w:tcW w:w="92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元/吨</w:t>
            </w:r>
          </w:p>
        </w:tc>
        <w:tc>
          <w:tcPr>
            <w:tcW w:w="736"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cs="宋体"/>
                <w:b w:val="0"/>
                <w:bCs w:val="0"/>
                <w:color w:val="auto"/>
                <w:sz w:val="24"/>
                <w:szCs w:val="24"/>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trPr>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2</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hint="default" w:ascii="宋体" w:hAnsi="宋体" w:eastAsia="宋体"/>
                <w:b w:val="0"/>
                <w:bCs w:val="0"/>
                <w:i w:val="0"/>
                <w:snapToGrid/>
                <w:color w:val="auto"/>
                <w:sz w:val="24"/>
                <w:szCs w:val="24"/>
                <w:u w:val="none"/>
                <w:lang w:eastAsia="zh-CN"/>
              </w:rPr>
            </w:pPr>
            <w:r>
              <w:rPr>
                <w:rFonts w:hint="eastAsia" w:ascii="宋体" w:hAnsi="宋体" w:cs="宋体"/>
                <w:color w:val="auto"/>
                <w:sz w:val="24"/>
                <w:szCs w:val="24"/>
                <w:lang w:val="en-US" w:eastAsia="zh-CN"/>
              </w:rPr>
              <w:t>轧钢部倒运棒材、钢坯等</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13米平板</w:t>
            </w:r>
          </w:p>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cs="宋体"/>
                <w:color w:val="auto"/>
                <w:sz w:val="24"/>
                <w:szCs w:val="24"/>
                <w:vertAlign w:val="baseline"/>
                <w:lang w:val="en-US" w:eastAsia="zh-CN"/>
              </w:rPr>
              <w:t>（2辆）</w:t>
            </w:r>
          </w:p>
        </w:tc>
        <w:tc>
          <w:tcPr>
            <w:tcW w:w="3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i w:val="0"/>
                <w:color w:val="auto"/>
                <w:sz w:val="24"/>
                <w:szCs w:val="24"/>
              </w:rPr>
            </w:pPr>
            <w:r>
              <w:rPr>
                <w:rFonts w:hint="eastAsia" w:ascii="宋体" w:hAnsi="宋体" w:cs="宋体"/>
                <w:b w:val="0"/>
                <w:i w:val="0"/>
                <w:color w:val="auto"/>
                <w:sz w:val="24"/>
                <w:szCs w:val="24"/>
                <w:lang w:eastAsia="zh-CN"/>
              </w:rPr>
              <w:t>结算</w:t>
            </w:r>
            <w:r>
              <w:rPr>
                <w:rFonts w:hint="eastAsia" w:ascii="宋体" w:hAnsi="宋体" w:eastAsia="宋体" w:cs="宋体"/>
                <w:b w:val="0"/>
                <w:i w:val="0"/>
                <w:color w:val="auto"/>
                <w:sz w:val="24"/>
                <w:szCs w:val="24"/>
              </w:rPr>
              <w:t>费用=</w:t>
            </w:r>
            <w:r>
              <w:rPr>
                <w:rFonts w:hint="eastAsia" w:ascii="宋体" w:hAnsi="宋体" w:cs="宋体"/>
                <w:b w:val="0"/>
                <w:i w:val="0"/>
                <w:color w:val="auto"/>
                <w:sz w:val="24"/>
                <w:szCs w:val="24"/>
                <w:lang w:eastAsia="zh-CN"/>
              </w:rPr>
              <w:t>倒运吨位</w:t>
            </w:r>
            <w:r>
              <w:rPr>
                <w:rFonts w:hint="eastAsia" w:ascii="宋体" w:hAnsi="宋体" w:eastAsia="宋体" w:cs="宋体"/>
                <w:b w:val="0"/>
                <w:i w:val="0"/>
                <w:color w:val="auto"/>
                <w:sz w:val="24"/>
                <w:szCs w:val="24"/>
              </w:rPr>
              <w:t>*单价</w:t>
            </w:r>
          </w:p>
          <w:p>
            <w:pPr>
              <w:spacing w:line="360" w:lineRule="auto"/>
              <w:jc w:val="center"/>
              <w:rPr>
                <w:rFonts w:hint="default" w:ascii="宋体" w:hAnsi="宋体" w:eastAsia="宋体"/>
                <w:b w:val="0"/>
                <w:bCs w:val="0"/>
                <w:i w:val="0"/>
                <w:snapToGrid/>
                <w:color w:val="auto"/>
                <w:sz w:val="24"/>
                <w:szCs w:val="24"/>
                <w:u w:val="none"/>
                <w:lang w:val="en-US" w:eastAsia="zh-CN"/>
              </w:rPr>
            </w:pPr>
            <w:r>
              <w:rPr>
                <w:rFonts w:hint="eastAsia" w:ascii="宋体" w:hAnsi="宋体" w:cs="宋体"/>
                <w:b w:val="0"/>
                <w:i w:val="0"/>
                <w:color w:val="auto"/>
                <w:sz w:val="24"/>
                <w:szCs w:val="24"/>
                <w:lang w:val="en-US" w:eastAsia="zh-CN"/>
              </w:rPr>
              <w:t>约1.8万</w:t>
            </w:r>
            <w:r>
              <w:rPr>
                <w:rFonts w:hint="eastAsia" w:ascii="宋体" w:hAnsi="宋体" w:eastAsia="宋体" w:cs="宋体"/>
                <w:b w:val="0"/>
                <w:i w:val="0"/>
                <w:color w:val="auto"/>
                <w:sz w:val="24"/>
                <w:szCs w:val="24"/>
                <w:lang w:val="en-US" w:eastAsia="zh-CN"/>
              </w:rPr>
              <w:t>吨</w:t>
            </w:r>
            <w:r>
              <w:rPr>
                <w:rFonts w:hint="eastAsia" w:ascii="宋体" w:hAnsi="宋体" w:cs="宋体"/>
                <w:b w:val="0"/>
                <w:i w:val="0"/>
                <w:color w:val="auto"/>
                <w:sz w:val="24"/>
                <w:szCs w:val="24"/>
                <w:lang w:val="en-US" w:eastAsia="zh-CN"/>
              </w:rPr>
              <w:t>/月</w:t>
            </w:r>
          </w:p>
        </w:tc>
        <w:tc>
          <w:tcPr>
            <w:tcW w:w="92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default" w:ascii="宋体" w:hAnsi="宋体" w:eastAsia="宋体"/>
                <w:b w:val="0"/>
                <w:bCs w:val="0"/>
                <w:i w:val="0"/>
                <w:snapToGrid/>
                <w:color w:val="auto"/>
                <w:sz w:val="24"/>
                <w:szCs w:val="24"/>
                <w:u w:val="none"/>
                <w:lang w:eastAsia="zh-CN"/>
              </w:rPr>
            </w:pPr>
            <w:r>
              <w:rPr>
                <w:rFonts w:hint="eastAsia" w:ascii="宋体" w:hAnsi="宋体" w:eastAsia="宋体" w:cs="宋体"/>
                <w:color w:val="auto"/>
                <w:sz w:val="24"/>
                <w:szCs w:val="24"/>
                <w:vertAlign w:val="baseline"/>
                <w:lang w:eastAsia="zh-CN"/>
              </w:rPr>
              <w:t>元</w:t>
            </w:r>
            <w:r>
              <w:rPr>
                <w:rFonts w:hint="eastAsia" w:ascii="宋体" w:hAnsi="宋体" w:eastAsia="宋体" w:cs="宋体"/>
                <w:color w:val="auto"/>
                <w:sz w:val="24"/>
                <w:szCs w:val="24"/>
                <w:vertAlign w:val="baseline"/>
                <w:lang w:val="en-US" w:eastAsia="zh-CN"/>
              </w:rPr>
              <w:t>/吨</w:t>
            </w:r>
          </w:p>
        </w:tc>
        <w:tc>
          <w:tcPr>
            <w:tcW w:w="73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trPr>
        <w:tc>
          <w:tcPr>
            <w:tcW w:w="602" w:type="dxa"/>
            <w:tcBorders>
              <w:top w:val="single" w:color="auto" w:sz="4" w:space="0"/>
              <w:left w:val="single" w:color="000000" w:sz="4" w:space="0"/>
              <w:bottom w:val="single" w:color="000000" w:sz="4" w:space="0"/>
              <w:right w:val="single" w:color="auto" w:sz="4" w:space="0"/>
            </w:tcBorders>
            <w:vAlign w:val="center"/>
          </w:tcPr>
          <w:p>
            <w:pPr>
              <w:spacing w:line="360" w:lineRule="auto"/>
              <w:jc w:val="center"/>
              <w:rPr>
                <w:rFonts w:hint="default" w:ascii="宋体" w:hAnsi="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3</w:t>
            </w:r>
          </w:p>
        </w:tc>
        <w:tc>
          <w:tcPr>
            <w:tcW w:w="2790" w:type="dxa"/>
            <w:tcBorders>
              <w:top w:val="single" w:color="auto" w:sz="4" w:space="0"/>
              <w:left w:val="single" w:color="000000" w:sz="4" w:space="0"/>
              <w:bottom w:val="single" w:color="000000" w:sz="4" w:space="0"/>
              <w:right w:val="single" w:color="auto" w:sz="4" w:space="0"/>
            </w:tcBorders>
            <w:vAlign w:val="center"/>
          </w:tcPr>
          <w:p>
            <w:pPr>
              <w:ind w:firstLine="480" w:firstLineChars="20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临时用车</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13米平板</w:t>
            </w:r>
          </w:p>
        </w:tc>
        <w:tc>
          <w:tcPr>
            <w:tcW w:w="3444"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结算费用=使用时间*单价</w:t>
            </w:r>
          </w:p>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约20小时/月</w:t>
            </w:r>
          </w:p>
        </w:tc>
        <w:tc>
          <w:tcPr>
            <w:tcW w:w="925" w:type="dxa"/>
            <w:tcBorders>
              <w:top w:val="single" w:color="auto" w:sz="4" w:space="0"/>
              <w:left w:val="single" w:color="000000" w:sz="4" w:space="0"/>
              <w:bottom w:val="single" w:color="000000" w:sz="4" w:space="0"/>
              <w:right w:val="single" w:color="000000" w:sz="4" w:space="0"/>
            </w:tcBorders>
            <w:vAlign w:val="bottom"/>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元/小时</w:t>
            </w:r>
          </w:p>
        </w:tc>
        <w:tc>
          <w:tcPr>
            <w:tcW w:w="736" w:type="dxa"/>
            <w:tcBorders>
              <w:top w:val="single" w:color="auto"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default" w:ascii="宋体" w:hAnsi="宋体" w:eastAsia="宋体"/>
                <w:b w:val="0"/>
                <w:bCs w:val="0"/>
                <w:i w:val="0"/>
                <w:snapToGrid/>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3" w:hRule="atLeast"/>
        </w:trPr>
        <w:tc>
          <w:tcPr>
            <w:tcW w:w="92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sz w:val="24"/>
                <w:szCs w:val="24"/>
                <w:vertAlign w:val="baseline"/>
                <w:lang w:eastAsia="zh-CN"/>
              </w:rPr>
            </w:pPr>
            <w:r>
              <w:rPr>
                <w:rFonts w:hint="eastAsia" w:ascii="宋体" w:hAnsi="宋体" w:cs="宋体"/>
                <w:b w:val="0"/>
                <w:bCs w:val="0"/>
                <w:color w:val="auto"/>
                <w:sz w:val="24"/>
                <w:szCs w:val="24"/>
                <w:vertAlign w:val="baseline"/>
                <w:lang w:eastAsia="zh-CN"/>
              </w:rPr>
              <w:t>合</w:t>
            </w:r>
            <w:r>
              <w:rPr>
                <w:rFonts w:hint="eastAsia" w:ascii="宋体" w:hAnsi="宋体" w:cs="宋体"/>
                <w:b w:val="0"/>
                <w:bCs w:val="0"/>
                <w:color w:val="auto"/>
                <w:sz w:val="24"/>
                <w:szCs w:val="24"/>
                <w:vertAlign w:val="baseline"/>
                <w:lang w:val="en-US" w:eastAsia="zh-CN"/>
              </w:rPr>
              <w:t xml:space="preserve">   </w:t>
            </w:r>
            <w:r>
              <w:rPr>
                <w:rFonts w:hint="eastAsia" w:ascii="宋体" w:hAnsi="宋体" w:cs="宋体"/>
                <w:b w:val="0"/>
                <w:bCs w:val="0"/>
                <w:color w:val="auto"/>
                <w:sz w:val="24"/>
                <w:szCs w:val="24"/>
                <w:vertAlign w:val="baseline"/>
                <w:lang w:eastAsia="zh-CN"/>
              </w:rPr>
              <w:t>计</w:t>
            </w:r>
          </w:p>
        </w:tc>
        <w:tc>
          <w:tcPr>
            <w:tcW w:w="736" w:type="dxa"/>
            <w:tcBorders>
              <w:top w:val="single" w:color="000000" w:sz="4" w:space="0"/>
              <w:left w:val="single" w:color="000000" w:sz="4" w:space="0"/>
              <w:bottom w:val="single" w:color="000000" w:sz="4" w:space="0"/>
              <w:right w:val="single" w:color="auto" w:sz="4" w:space="0"/>
            </w:tcBorders>
            <w:vAlign w:val="bottom"/>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outlineLvl w:val="9"/>
              <w:rPr>
                <w:rFonts w:hint="eastAsia" w:ascii="宋体" w:hAnsi="宋体"/>
                <w:b w:val="0"/>
                <w:bCs w:val="0"/>
                <w:i w:val="0"/>
                <w:snapToGrid/>
                <w:color w:val="auto"/>
                <w:sz w:val="24"/>
                <w:szCs w:val="24"/>
                <w:u w:val="none"/>
                <w:lang w:eastAsia="zh-CN"/>
              </w:rPr>
            </w:pPr>
          </w:p>
        </w:tc>
      </w:tr>
    </w:tbl>
    <w:p>
      <w:pPr>
        <w:tabs>
          <w:tab w:val="left" w:pos="420"/>
          <w:tab w:val="left" w:pos="630"/>
        </w:tabs>
        <w:spacing w:line="360" w:lineRule="auto"/>
        <w:jc w:val="left"/>
        <w:rPr>
          <w:rFonts w:hint="eastAsia"/>
          <w:color w:val="auto"/>
          <w:sz w:val="24"/>
          <w:szCs w:val="24"/>
          <w:u w:val="none"/>
          <w:lang w:eastAsia="zh-CN"/>
        </w:rPr>
      </w:pPr>
      <w:r>
        <w:rPr>
          <w:rFonts w:hint="eastAsia"/>
          <w:color w:val="auto"/>
          <w:sz w:val="24"/>
          <w:szCs w:val="24"/>
          <w:u w:val="none"/>
          <w:lang w:eastAsia="zh-CN"/>
        </w:rPr>
        <w:t>备注：</w:t>
      </w:r>
    </w:p>
    <w:p>
      <w:pPr>
        <w:numPr>
          <w:ilvl w:val="0"/>
          <w:numId w:val="10"/>
        </w:numPr>
        <w:spacing w:line="360" w:lineRule="auto"/>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棒材钢坯倒运吨依据按挂牌理重。</w:t>
      </w:r>
      <w:r>
        <w:rPr>
          <w:rFonts w:hint="eastAsia" w:ascii="宋体" w:hAnsi="宋体" w:eastAsia="宋体" w:cs="宋体"/>
          <w:color w:val="auto"/>
          <w:sz w:val="24"/>
          <w:szCs w:val="24"/>
          <w:lang w:val="en-US" w:eastAsia="zh-CN"/>
        </w:rPr>
        <w:t>临时用车使用时间不足一小时按一小时计算，超出一小时的据实结算。</w:t>
      </w:r>
    </w:p>
    <w:p>
      <w:pPr>
        <w:numPr>
          <w:ilvl w:val="0"/>
          <w:numId w:val="10"/>
        </w:numPr>
        <w:spacing w:line="360" w:lineRule="auto"/>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车辆需满足国五以上排放标准，</w:t>
      </w:r>
      <w:r>
        <w:rPr>
          <w:rFonts w:hint="eastAsia" w:ascii="宋体" w:hAnsi="宋体" w:eastAsia="宋体" w:cs="宋体"/>
          <w:color w:val="auto"/>
          <w:sz w:val="24"/>
          <w:szCs w:val="24"/>
          <w:lang w:val="en-US" w:eastAsia="zh-CN"/>
        </w:rPr>
        <w:t>定期做好车辆检维修，确保用车安全。</w:t>
      </w:r>
    </w:p>
    <w:p>
      <w:pPr>
        <w:numPr>
          <w:ilvl w:val="0"/>
          <w:numId w:val="10"/>
        </w:numPr>
        <w:spacing w:line="360" w:lineRule="auto"/>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半挂</w:t>
      </w:r>
      <w:r>
        <w:rPr>
          <w:rFonts w:hint="eastAsia" w:ascii="宋体" w:hAnsi="宋体" w:eastAsia="宋体" w:cs="宋体"/>
          <w:color w:val="auto"/>
          <w:sz w:val="24"/>
          <w:szCs w:val="24"/>
          <w:lang w:val="en-US" w:eastAsia="zh-CN"/>
        </w:rPr>
        <w:t>需要安装支架，以提高倒运效率。</w:t>
      </w:r>
    </w:p>
    <w:p>
      <w:pPr>
        <w:numPr>
          <w:ilvl w:val="0"/>
          <w:numId w:val="1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作业人员需持证上岗</w:t>
      </w:r>
      <w:r>
        <w:rPr>
          <w:rFonts w:hint="eastAsia" w:ascii="宋体" w:hAnsi="宋体" w:cs="宋体"/>
          <w:color w:val="auto"/>
          <w:sz w:val="24"/>
          <w:szCs w:val="24"/>
          <w:lang w:val="en-US" w:eastAsia="zh-CN"/>
        </w:rPr>
        <w:t>，车证要相符</w:t>
      </w:r>
      <w:r>
        <w:rPr>
          <w:rFonts w:hint="eastAsia" w:ascii="宋体" w:hAnsi="宋体" w:eastAsia="宋体" w:cs="宋体"/>
          <w:color w:val="auto"/>
          <w:sz w:val="24"/>
          <w:szCs w:val="24"/>
          <w:lang w:val="en-US" w:eastAsia="zh-CN"/>
        </w:rPr>
        <w:t>。</w:t>
      </w:r>
    </w:p>
    <w:p>
      <w:pPr>
        <w:numPr>
          <w:ilvl w:val="0"/>
          <w:numId w:val="10"/>
        </w:numPr>
        <w:spacing w:line="360" w:lineRule="auto"/>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报价表中的倒运吨位、使用时间为参考量，结算费用以实际发生量为准。</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单位：</w:t>
      </w:r>
    </w:p>
    <w:p>
      <w:pPr>
        <w:keepNext w:val="0"/>
        <w:keepLines w:val="0"/>
        <w:pageBreakBefore w:val="0"/>
        <w:widowControl/>
        <w:suppressLineNumbers w:val="0"/>
        <w:kinsoku/>
        <w:wordWrap/>
        <w:overflowPunct/>
        <w:topLinePunct w:val="0"/>
        <w:autoSpaceDE/>
        <w:bidi w:val="0"/>
        <w:adjustRightInd/>
        <w:snapToGrid/>
        <w:spacing w:line="360" w:lineRule="auto"/>
        <w:ind w:left="0" w:leftChars="0" w:right="0" w:rightChars="0"/>
        <w:jc w:val="both"/>
        <w:textAlignment w:val="center"/>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日期：</w:t>
      </w:r>
    </w:p>
    <w:p>
      <w:pPr>
        <w:bidi w:val="0"/>
        <w:rPr>
          <w:rFonts w:hint="eastAsia" w:ascii="Times New Roman" w:hAnsi="Times New Roman" w:eastAsia="宋体" w:cs="Times New Roman"/>
          <w:kern w:val="2"/>
          <w:sz w:val="21"/>
          <w:lang w:val="en-US" w:eastAsia="zh-CN" w:bidi="ar-SA"/>
        </w:rPr>
      </w:pPr>
    </w:p>
    <w:p>
      <w:pPr>
        <w:spacing w:line="240" w:lineRule="auto"/>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4</w:t>
      </w:r>
      <w:r>
        <w:rPr>
          <w:rFonts w:ascii="宋体" w:hAnsi="宋体"/>
          <w:color w:val="auto"/>
          <w:sz w:val="24"/>
          <w:szCs w:val="24"/>
        </w:rPr>
        <w:t>月</w:t>
      </w:r>
      <w:r>
        <w:rPr>
          <w:rFonts w:hint="eastAsia" w:ascii="宋体" w:hAnsi="宋体"/>
          <w:color w:val="auto"/>
          <w:sz w:val="24"/>
          <w:szCs w:val="24"/>
          <w:lang w:val="en-US" w:eastAsia="zh-CN"/>
        </w:rPr>
        <w:t>20</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1"/>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59264;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10">
    <w:nsid w:val="706DFC22"/>
    <w:multiLevelType w:val="singleLevel"/>
    <w:tmpl w:val="706DFC22"/>
    <w:lvl w:ilvl="0" w:tentative="0">
      <w:start w:val="1"/>
      <w:numFmt w:val="decimal"/>
      <w:suff w:val="nothing"/>
      <w:lvlText w:val="%1、"/>
      <w:lvlJc w:val="left"/>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C333A20"/>
    <w:rsid w:val="10772EB5"/>
    <w:rsid w:val="11DE5603"/>
    <w:rsid w:val="13BA318B"/>
    <w:rsid w:val="152B2857"/>
    <w:rsid w:val="16AA6B17"/>
    <w:rsid w:val="1C1D6140"/>
    <w:rsid w:val="1C28711D"/>
    <w:rsid w:val="1F415A0F"/>
    <w:rsid w:val="1FC61767"/>
    <w:rsid w:val="234F5E22"/>
    <w:rsid w:val="23F27268"/>
    <w:rsid w:val="252D19D6"/>
    <w:rsid w:val="25A87FB8"/>
    <w:rsid w:val="25F13BFC"/>
    <w:rsid w:val="2D230D73"/>
    <w:rsid w:val="2DFD089F"/>
    <w:rsid w:val="2E34761D"/>
    <w:rsid w:val="30033579"/>
    <w:rsid w:val="323F2693"/>
    <w:rsid w:val="34FF5DC8"/>
    <w:rsid w:val="390D4485"/>
    <w:rsid w:val="3A4B4F63"/>
    <w:rsid w:val="3C09736A"/>
    <w:rsid w:val="3F114200"/>
    <w:rsid w:val="41417945"/>
    <w:rsid w:val="41DB42F4"/>
    <w:rsid w:val="454E4D64"/>
    <w:rsid w:val="46F31726"/>
    <w:rsid w:val="4C62699D"/>
    <w:rsid w:val="513C3EF8"/>
    <w:rsid w:val="53D27EE3"/>
    <w:rsid w:val="556B3A6A"/>
    <w:rsid w:val="584B20E6"/>
    <w:rsid w:val="589B3C10"/>
    <w:rsid w:val="59AE20BD"/>
    <w:rsid w:val="5B2D6E0C"/>
    <w:rsid w:val="5DA113C7"/>
    <w:rsid w:val="5DA500D7"/>
    <w:rsid w:val="603E0EA5"/>
    <w:rsid w:val="607D1710"/>
    <w:rsid w:val="60DB2E9E"/>
    <w:rsid w:val="62CA5CF7"/>
    <w:rsid w:val="6D663618"/>
    <w:rsid w:val="71CE0F14"/>
    <w:rsid w:val="737502D4"/>
    <w:rsid w:val="74965A4A"/>
    <w:rsid w:val="76892D68"/>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2021-04-20T07:06:15Z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