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炼钢部陶瓷膜过滤器管道及阀门更换外委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21</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w:t>
      </w:r>
      <w:r>
        <w:rPr>
          <w:rFonts w:hint="eastAsia" w:ascii="宋体" w:hAnsi="宋体" w:cs="宋体"/>
          <w:sz w:val="24"/>
          <w:szCs w:val="24"/>
          <w:lang w:val="en-US" w:eastAsia="zh-CN"/>
        </w:rPr>
        <w:t>0211014TCMGLQGDJFMGHWW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炼钢部陶瓷膜过滤器管道及阀门更换外委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炼钢部陶瓷膜过滤器管道及阀门更换外委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炼钢部陶瓷膜过滤器管道及阀门更换外委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谢金林</w:t>
      </w:r>
      <w:r>
        <w:rPr>
          <w:rFonts w:hint="eastAsia" w:ascii="宋体" w:hAnsi="宋体"/>
          <w:sz w:val="24"/>
          <w:szCs w:val="24"/>
        </w:rPr>
        <w:t xml:space="preserve">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王春来   </w:t>
      </w:r>
      <w:r>
        <w:rPr>
          <w:rFonts w:hint="eastAsia" w:ascii="宋体" w:hAnsi="宋体"/>
          <w:strike w:val="0"/>
          <w:dstrike w:val="0"/>
          <w:color w:val="auto"/>
          <w:sz w:val="24"/>
          <w:szCs w:val="24"/>
          <w:lang w:val="en-US" w:eastAsia="zh-CN"/>
        </w:rPr>
        <w:t>15005536106</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53</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cs="宋体"/>
          <w:i w:val="0"/>
          <w:caps w:val="0"/>
          <w:color w:val="2A2A2A"/>
          <w:spacing w:val="0"/>
          <w:sz w:val="24"/>
          <w:szCs w:val="24"/>
          <w:shd w:val="clear" w:fill="FFFFFF"/>
          <w:lang w:eastAsia="zh-CN"/>
        </w:rPr>
        <w:t>whxxzg001@qq.com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壹万伍仟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28</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炼钢部水系统陶瓷膜过滤器管道及阀门更换；</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更换管道型号、数量及型号见下表：</w:t>
      </w:r>
    </w:p>
    <w:tbl>
      <w:tblPr>
        <w:tblStyle w:val="9"/>
        <w:tblpPr w:leftFromText="180" w:rightFromText="180" w:vertAnchor="text" w:horzAnchor="page" w:tblpX="1531" w:tblpY="148"/>
        <w:tblOverlap w:val="never"/>
        <w:tblW w:w="9620" w:type="dxa"/>
        <w:tblInd w:w="0" w:type="dxa"/>
        <w:tblLayout w:type="fixed"/>
        <w:tblCellMar>
          <w:top w:w="0" w:type="dxa"/>
          <w:left w:w="108" w:type="dxa"/>
          <w:bottom w:w="0" w:type="dxa"/>
          <w:right w:w="108" w:type="dxa"/>
        </w:tblCellMar>
      </w:tblPr>
      <w:tblGrid>
        <w:gridCol w:w="1024"/>
        <w:gridCol w:w="1330"/>
        <w:gridCol w:w="2267"/>
        <w:gridCol w:w="1002"/>
        <w:gridCol w:w="858"/>
        <w:gridCol w:w="1320"/>
        <w:gridCol w:w="1819"/>
      </w:tblGrid>
      <w:tr>
        <w:tblPrEx>
          <w:tblCellMar>
            <w:top w:w="0" w:type="dxa"/>
            <w:left w:w="108" w:type="dxa"/>
            <w:bottom w:w="0" w:type="dxa"/>
            <w:right w:w="108" w:type="dxa"/>
          </w:tblCellMar>
        </w:tblPrEx>
        <w:trPr>
          <w:trHeight w:val="312" w:hRule="atLeast"/>
        </w:trPr>
        <w:tc>
          <w:tcPr>
            <w:tcW w:w="9620" w:type="dxa"/>
            <w:gridSpan w:val="7"/>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陶瓷膜管道及阀门更换表</w:t>
            </w: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DN830*12</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DN400*12</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DN350*10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DN150*8</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DN100*8</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直缝管</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DN80*8</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电动碟阀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电动碟阀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电动碟阀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手动蝶阀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DN350/1.6MPa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手动蝶阀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手动蝶阀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手动蝶阀</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DN80/1.6MPa</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变径头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DN830变920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102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w:t>
            </w:r>
          </w:p>
        </w:tc>
        <w:tc>
          <w:tcPr>
            <w:tcW w:w="2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w:t>
            </w:r>
          </w:p>
        </w:tc>
        <w:tc>
          <w:tcPr>
            <w:tcW w:w="1819"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ind w:leftChars="200"/>
        <w:rPr>
          <w:rFonts w:hint="eastAsia" w:ascii="Times New Roman" w:hAnsi="Times New Roman" w:eastAsia="宋体" w:cs="Times New Roman"/>
          <w:sz w:val="28"/>
          <w:szCs w:val="28"/>
          <w:lang w:val="en-US" w:eastAsia="zh-CN"/>
        </w:rPr>
      </w:pPr>
    </w:p>
    <w:p>
      <w:pPr>
        <w:numPr>
          <w:ilvl w:val="0"/>
          <w:numId w:val="0"/>
        </w:num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以上材料炼钢部提供。</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管道更换防腐技术要求：手动除锈达到St3，两遍环氧富锌底漆与两遍面漆，每遍漆膜厚度40--60um，面漆颜色与现管道一致。</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管道更换按照国家相关安装、技术规范执行：《工业金属管道工程施工规范》GB50235-2010；《建筑给水排水及采暖工程施工质量验收规范》GB50242-2002；钢管用直缝焊管Q235B，执行《焊接钢管》GB/T3091-2008；</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防腐、检修用吊机、起吊用具等承接单位负责；</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承接陶瓷膜过滤器管道更换单位负责试车以及质保期一年；</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承接单位执行芜湖新兴铸管及炼钢部规章制度。</w:t>
      </w:r>
    </w:p>
    <w:p>
      <w:pPr>
        <w:numPr>
          <w:ilvl w:val="0"/>
          <w:numId w:val="7"/>
        </w:numPr>
        <w:ind w:leftChars="0"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投标单位必须同时具有且不</w:t>
      </w:r>
      <w:r>
        <w:rPr>
          <w:rFonts w:hint="eastAsia" w:cs="Times New Roman"/>
          <w:sz w:val="28"/>
          <w:szCs w:val="28"/>
          <w:lang w:val="en-US" w:eastAsia="zh-CN"/>
        </w:rPr>
        <w:t>得</w:t>
      </w:r>
      <w:r>
        <w:rPr>
          <w:rFonts w:hint="eastAsia" w:ascii="Times New Roman" w:hAnsi="Times New Roman" w:eastAsia="宋体" w:cs="Times New Roman"/>
          <w:sz w:val="28"/>
          <w:szCs w:val="28"/>
          <w:lang w:val="en-US" w:eastAsia="zh-CN"/>
        </w:rPr>
        <w:t>低于如下资质等级：钢结构工程专业承包贰级、机电工程施工总包叁级。</w:t>
      </w:r>
    </w:p>
    <w:p>
      <w:pPr>
        <w:numPr>
          <w:ilvl w:val="0"/>
          <w:numId w:val="0"/>
        </w:numPr>
        <w:ind w:leftChars="200"/>
        <w:rPr>
          <w:rFonts w:hint="default"/>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本次招标项目最高投标限价为：</w:t>
      </w:r>
      <w:r>
        <w:rPr>
          <w:rFonts w:hint="eastAsia" w:cs="宋体"/>
          <w:b/>
          <w:bCs/>
          <w:color w:val="FF0000"/>
          <w:sz w:val="24"/>
          <w:szCs w:val="24"/>
          <w:lang w:val="en-US" w:eastAsia="zh-CN"/>
        </w:rPr>
        <w:t>90万元（玖拾万元整）</w:t>
      </w:r>
      <w:r>
        <w:rPr>
          <w:rFonts w:hint="eastAsia" w:ascii="宋体" w:hAnsi="宋体" w:cs="宋体"/>
          <w:b/>
          <w:bCs/>
          <w:sz w:val="24"/>
          <w:szCs w:val="24"/>
          <w:lang w:val="en-US" w:eastAsia="zh-CN"/>
        </w:rPr>
        <w:t>，</w:t>
      </w:r>
      <w:r>
        <w:rPr>
          <w:rFonts w:hint="default" w:ascii="宋体" w:hAnsi="宋体" w:eastAsia="宋体" w:cs="宋体"/>
          <w:b/>
          <w:bCs/>
          <w:sz w:val="24"/>
          <w:szCs w:val="24"/>
          <w:lang w:val="en-US" w:eastAsia="zh-CN"/>
        </w:rPr>
        <w:t>报价高于此最高投标限价的作废标处理。</w:t>
      </w:r>
    </w:p>
    <w:p>
      <w:pPr>
        <w:rPr>
          <w:rFonts w:hint="default" w:ascii="宋体" w:hAnsi="宋体" w:eastAsia="宋体" w:cs="宋体"/>
          <w:b/>
          <w:bCs/>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21日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8"/>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9E4438"/>
    <w:multiLevelType w:val="singleLevel"/>
    <w:tmpl w:val="659E4438"/>
    <w:lvl w:ilvl="0" w:tentative="0">
      <w:start w:val="1"/>
      <w:numFmt w:val="decimal"/>
      <w:lvlText w:val="%1."/>
      <w:lvlJc w:val="left"/>
      <w:pPr>
        <w:tabs>
          <w:tab w:val="left" w:pos="312"/>
        </w:tabs>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2F44B2"/>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165477"/>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7B028C1"/>
    <w:rsid w:val="38DD474A"/>
    <w:rsid w:val="3AC54E7F"/>
    <w:rsid w:val="3AF836DB"/>
    <w:rsid w:val="3B79579C"/>
    <w:rsid w:val="3B95751B"/>
    <w:rsid w:val="3BA87B84"/>
    <w:rsid w:val="3BBC7E07"/>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42E1AE4"/>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525B0F"/>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7771B8"/>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3B5A38"/>
    <w:rsid w:val="794D7439"/>
    <w:rsid w:val="7A136C4E"/>
    <w:rsid w:val="7ADC3761"/>
    <w:rsid w:val="7B175C93"/>
    <w:rsid w:val="7B3E33D5"/>
    <w:rsid w:val="7C9832B9"/>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2021-10-21T12:28:38Z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