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3#高炉炉前厂棚钢结构安全隐患整改工程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21</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20421001</w:t>
      </w:r>
      <w:bookmarkStart w:id="3" w:name="_GoBack"/>
      <w:bookmarkEnd w:id="3"/>
      <w:r>
        <w:rPr>
          <w:rFonts w:hint="eastAsia" w:ascii="宋体" w:hAnsi="宋体" w:eastAsia="宋体" w:cs="宋体"/>
          <w:bCs/>
          <w:color w:val="2A2A2A"/>
          <w:kern w:val="0"/>
          <w:sz w:val="28"/>
          <w:szCs w:val="28"/>
          <w:lang w:val="en-US" w:eastAsia="zh-CN"/>
        </w:rPr>
        <w:t>GLYHZGGC</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lang w:val="en-US" w:eastAsia="zh-CN"/>
        </w:rPr>
        <w:t>贰</w:t>
      </w:r>
      <w:r>
        <w:rPr>
          <w:rFonts w:hint="eastAsia"/>
          <w:color w:val="FF0000"/>
          <w:sz w:val="24"/>
          <w:szCs w:val="24"/>
          <w:u w:val="none"/>
        </w:rPr>
        <w:t>级</w:t>
      </w:r>
      <w:r>
        <w:rPr>
          <w:rFonts w:hint="eastAsia" w:ascii="宋体" w:hAnsi="宋体"/>
          <w:bCs/>
          <w:color w:val="FF0000"/>
          <w:sz w:val="24"/>
          <w:szCs w:val="24"/>
          <w:u w:val="none"/>
        </w:rPr>
        <w:t>及以上资质</w:t>
      </w:r>
      <w:r>
        <w:rPr>
          <w:rFonts w:hint="eastAsia" w:ascii="宋体" w:hAnsi="宋体"/>
          <w:bCs/>
          <w:sz w:val="24"/>
          <w:szCs w:val="24"/>
          <w:u w:val="none"/>
          <w:lang w:val="en-US" w:eastAsia="zh-CN"/>
        </w:rPr>
        <w:t>或者</w:t>
      </w:r>
      <w:r>
        <w:rPr>
          <w:rFonts w:hint="eastAsia" w:ascii="宋体" w:hAnsi="宋体"/>
          <w:bCs/>
          <w:color w:val="FF0000"/>
          <w:sz w:val="24"/>
          <w:szCs w:val="24"/>
          <w:u w:val="none"/>
          <w:lang w:val="en-US" w:eastAsia="zh-CN"/>
        </w:rPr>
        <w:t>钢结构工程专业承包叁级</w:t>
      </w:r>
      <w:r>
        <w:rPr>
          <w:rFonts w:hint="eastAsia" w:ascii="宋体" w:hAnsi="宋体"/>
          <w:bCs/>
          <w:color w:val="FF0000"/>
          <w:sz w:val="24"/>
          <w:szCs w:val="24"/>
          <w:u w:val="none"/>
        </w:rPr>
        <w:t>及以上资质证书</w:t>
      </w:r>
      <w:r>
        <w:rPr>
          <w:rFonts w:hint="eastAsia" w:ascii="宋体" w:hAnsi="宋体"/>
          <w:bCs/>
          <w:sz w:val="24"/>
          <w:szCs w:val="24"/>
          <w:u w:val="none"/>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lang w:val="en-US" w:eastAsia="zh-CN"/>
        </w:rPr>
        <w:t>21</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3#高炉炉前厂棚钢结构安全隐患整改工程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        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3#高炉炉前厂棚钢结构安全隐患整改工程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3#高炉炉前厂棚钢结构安全隐患整改工程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color w:val="FF0000"/>
          <w:kern w:val="36"/>
          <w:u w:val="single"/>
          <w:lang w:eastAsia="zh-CN"/>
        </w:rPr>
        <w:t>，</w:t>
      </w:r>
      <w:r>
        <w:rPr>
          <w:rFonts w:hint="eastAsia" w:ascii="宋体" w:hAnsi="宋体" w:cs="宋体"/>
          <w:bCs/>
          <w:color w:val="FF0000"/>
          <w:kern w:val="36"/>
          <w:u w:val="single"/>
          <w:lang w:val="en-US" w:eastAsia="zh-CN"/>
        </w:rPr>
        <w:t>本项目（前期编号：WHXX202204008GLYHZGGC</w:t>
      </w:r>
      <w:r>
        <w:rPr>
          <w:rFonts w:hint="eastAsia" w:ascii="宋体" w:hAnsi="宋体" w:cs="宋体"/>
          <w:bCs/>
          <w:color w:val="FF0000"/>
          <w:kern w:val="36"/>
          <w:u w:val="single"/>
          <w:lang w:val="en-US" w:eastAsia="zh-CN"/>
        </w:rPr>
        <w:t>）已缴纳过保证金未退单位本次无需再次缴纳</w:t>
      </w:r>
      <w:r>
        <w:rPr>
          <w:rFonts w:hint="eastAsia" w:ascii="宋体" w:hAnsi="宋体" w:cs="宋体"/>
          <w:bCs/>
          <w:color w:val="FF0000"/>
          <w:kern w:val="36"/>
          <w:u w:val="single"/>
        </w:rPr>
        <w:t>）</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27</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发包人确认下发的图纸及投标方</w:t>
      </w:r>
      <w:r>
        <w:rPr>
          <w:rFonts w:hint="eastAsia" w:ascii="宋体" w:hAnsi="宋体"/>
          <w:color w:val="auto"/>
          <w:lang w:val="en-US" w:eastAsia="zh-CN"/>
        </w:rPr>
        <w:t>现场踏勘</w:t>
      </w:r>
      <w:r>
        <w:rPr>
          <w:rFonts w:hint="eastAsia" w:ascii="宋体" w:hAnsi="宋体"/>
          <w:lang w:val="en-US" w:eastAsia="zh-CN"/>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2.  工程概况和估算工作量：包含：3#高炉炉前腐蚀的厂棚钢结构等更换施工。工作量：钢结构制安约70t，钢结构拆除分解约70t，钢结构拆除安装（利旧）约5t，彩钢瓦安装约900m2，采光瓦安装约200m2，彩瓦拆除约1100m2等工作量。</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3.  投标有效期:90天。</w:t>
      </w:r>
    </w:p>
    <w:p>
      <w:pPr>
        <w:spacing w:beforeLines="50" w:afterLines="50" w:line="360" w:lineRule="exact"/>
        <w:rPr>
          <w:rFonts w:ascii="宋体" w:hAnsi="宋体"/>
        </w:rPr>
      </w:pPr>
      <w:r>
        <w:rPr>
          <w:rFonts w:hint="eastAsia" w:ascii="宋体" w:hAnsi="宋体"/>
          <w:b/>
        </w:rPr>
        <w:t>四、工期：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开工日期： 2022-04-30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竣工日期： 2022-07-29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eastAsia="zh-CN"/>
        </w:rPr>
      </w:pPr>
      <w:r>
        <w:rPr>
          <w:rFonts w:hint="eastAsia" w:ascii="宋体" w:hAnsi="宋体"/>
          <w:lang w:val="en-US" w:eastAsia="zh-CN"/>
        </w:rPr>
        <w:t>合同工期总日历天数 90 天。</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3</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w:t>
      </w:r>
      <w:r>
        <w:rPr>
          <w:rFonts w:hint="eastAsia"/>
          <w:bCs/>
          <w:kern w:val="36"/>
          <w:szCs w:val="21"/>
        </w:rPr>
        <w:t>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4"/>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4"/>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4"/>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4"/>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4"/>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4"/>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4"/>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4"/>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4"/>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r>
        <w:rPr>
          <w:rFonts w:hint="eastAsia" w:ascii="宋体" w:hAnsi="宋体" w:cs="宋体"/>
          <w:lang w:val="en-US" w:eastAsia="zh-CN"/>
        </w:rPr>
        <w:t>。</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hint="eastAsia" w:ascii="宋体" w:hAnsi="宋体"/>
          <w:b/>
          <w:bCs/>
          <w:sz w:val="36"/>
          <w:szCs w:val="36"/>
        </w:rPr>
      </w:pPr>
      <w:r>
        <w:rPr>
          <w:rFonts w:hint="eastAsia" w:ascii="宋体" w:hAnsi="宋体"/>
          <w:b/>
          <w:bCs/>
          <w:sz w:val="36"/>
          <w:szCs w:val="36"/>
          <w:u w:val="single"/>
        </w:rPr>
        <w:t xml:space="preserve"> </w:t>
      </w:r>
      <w:r>
        <w:rPr>
          <w:rFonts w:hint="eastAsia"/>
          <w:b/>
          <w:bCs/>
          <w:sz w:val="36"/>
          <w:szCs w:val="36"/>
          <w:u w:val="single"/>
          <w:lang w:eastAsia="zh-CN"/>
        </w:rPr>
        <w:t>3#高炉炉前厂棚钢结构安全隐患整改工程</w:t>
      </w:r>
      <w:r>
        <w:rPr>
          <w:rFonts w:hint="eastAsia"/>
          <w:b/>
          <w:bCs/>
          <w:sz w:val="36"/>
          <w:szCs w:val="36"/>
          <w:u w:val="single"/>
          <w:lang w:val="en-US" w:eastAsia="zh-CN"/>
        </w:rPr>
        <w:t xml:space="preserve"> </w:t>
      </w:r>
      <w:r>
        <w:rPr>
          <w:rFonts w:hint="eastAsia" w:ascii="宋体" w:hAnsi="宋体"/>
          <w:b/>
          <w:bCs/>
          <w:sz w:val="36"/>
          <w:szCs w:val="36"/>
        </w:rPr>
        <w:t>报价单</w:t>
      </w:r>
    </w:p>
    <w:tbl>
      <w:tblPr>
        <w:tblStyle w:val="13"/>
        <w:tblW w:w="15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46"/>
        <w:gridCol w:w="772"/>
        <w:gridCol w:w="1992"/>
        <w:gridCol w:w="1715"/>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7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746"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772"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1992"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default"/>
                <w:kern w:val="2"/>
                <w:sz w:val="21"/>
                <w:lang w:val="en-US" w:eastAsia="zh-CN" w:bidi="ar-SA"/>
              </w:rPr>
            </w:pPr>
            <w:r>
              <w:rPr>
                <w:rFonts w:hint="eastAsia" w:ascii="宋体" w:hAnsi="宋体" w:cs="宋体"/>
                <w:sz w:val="22"/>
                <w:szCs w:val="22"/>
              </w:rPr>
              <w:t>工程量</w:t>
            </w:r>
          </w:p>
        </w:tc>
        <w:tc>
          <w:tcPr>
            <w:tcW w:w="1715" w:type="dxa"/>
            <w:noWrap w:val="0"/>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报价</w:t>
            </w:r>
          </w:p>
        </w:tc>
        <w:tc>
          <w:tcPr>
            <w:tcW w:w="8216"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16" w:type="dxa"/>
            <w:gridSpan w:val="6"/>
            <w:noWrap w:val="0"/>
            <w:vAlign w:val="center"/>
          </w:tcPr>
          <w:p>
            <w:pPr>
              <w:jc w:val="left"/>
              <w:rPr>
                <w:rFonts w:ascii="宋体" w:hAnsi="宋体" w:cs="宋体"/>
                <w:sz w:val="24"/>
                <w:szCs w:val="24"/>
              </w:rPr>
            </w:pPr>
            <w:r>
              <w:rPr>
                <w:rFonts w:hint="eastAsia" w:ascii="宋体" w:hAnsi="宋体" w:cs="宋体"/>
                <w:sz w:val="24"/>
                <w:szCs w:val="24"/>
              </w:rPr>
              <w:t>一、单价</w:t>
            </w:r>
            <w:r>
              <w:rPr>
                <w:rFonts w:hint="eastAsia" w:ascii="宋体" w:hAnsi="宋体" w:cs="宋体"/>
                <w:sz w:val="24"/>
                <w:szCs w:val="24"/>
                <w:lang w:val="en-US" w:eastAsia="zh-CN"/>
              </w:rPr>
              <w:t>包干</w:t>
            </w:r>
            <w:r>
              <w:rPr>
                <w:rFonts w:hint="eastAsia" w:ascii="宋体" w:hAnsi="宋体" w:cs="宋体"/>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7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7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772"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rPr>
            </w:pPr>
            <w:r>
              <w:rPr>
                <w:rFonts w:hint="eastAsia" w:ascii="宋体" w:hAnsi="宋体" w:eastAsia="宋体" w:cs="宋体"/>
                <w:i w:val="0"/>
                <w:iCs w:val="0"/>
                <w:color w:val="000000"/>
                <w:kern w:val="0"/>
                <w:sz w:val="20"/>
                <w:szCs w:val="20"/>
                <w:u w:val="none"/>
                <w:lang w:val="en-US" w:eastAsia="zh-CN" w:bidi="ar"/>
              </w:rPr>
              <w:t>t</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0"/>
                <w:szCs w:val="20"/>
                <w:u w:val="none"/>
                <w:lang w:val="en-US" w:eastAsia="zh-CN" w:bidi="ar"/>
              </w:rPr>
              <w:t>70</w:t>
            </w:r>
          </w:p>
        </w:tc>
        <w:tc>
          <w:tcPr>
            <w:tcW w:w="1715" w:type="dxa"/>
            <w:noWrap w:val="0"/>
            <w:vAlign w:val="center"/>
          </w:tcPr>
          <w:p>
            <w:pPr>
              <w:widowControl/>
              <w:wordWrap w:val="0"/>
              <w:jc w:val="righ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21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屋架、托架、天窗、檩条、檩托、支撑、拉条、平台、梯子、栏杆、天沟、清灰斗等所有钢构制安的卸车、运输、倒运、制作、安装、除锈、刷漆（含油漆）等全部工序及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7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7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钢结构拆除分解</w:t>
            </w:r>
          </w:p>
        </w:tc>
        <w:tc>
          <w:tcPr>
            <w:tcW w:w="772" w:type="dxa"/>
            <w:noWrap w:val="0"/>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iCs w:val="0"/>
                <w:color w:val="000000"/>
                <w:kern w:val="0"/>
                <w:sz w:val="21"/>
                <w:szCs w:val="21"/>
                <w:u w:val="none"/>
                <w:lang w:val="en-US" w:eastAsia="zh-CN" w:bidi="ar"/>
              </w:rPr>
              <w:t>t</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70</w:t>
            </w:r>
          </w:p>
        </w:tc>
        <w:tc>
          <w:tcPr>
            <w:tcW w:w="1715" w:type="dxa"/>
            <w:noWrap w:val="0"/>
            <w:vAlign w:val="center"/>
          </w:tcPr>
          <w:p>
            <w:pPr>
              <w:widowControl/>
              <w:jc w:val="right"/>
              <w:rPr>
                <w:rFonts w:ascii="宋体" w:hAnsi="宋体" w:cs="宋体"/>
                <w:sz w:val="24"/>
                <w:szCs w:val="24"/>
                <w:u w:val="single"/>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216" w:type="dxa"/>
            <w:noWrap w:val="0"/>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eastAsia="zh-CN" w:bidi="ar"/>
              </w:rPr>
            </w:pPr>
            <w:r>
              <w:rPr>
                <w:rStyle w:val="26"/>
                <w:lang w:val="en-US" w:eastAsia="zh-CN" w:bidi="ar"/>
              </w:rPr>
              <w:t>包括拆除、分解成块（</w:t>
            </w:r>
            <w:r>
              <w:rPr>
                <w:rStyle w:val="26"/>
                <w:rFonts w:hint="eastAsia"/>
                <w:lang w:val="en-US" w:eastAsia="zh-CN" w:bidi="ar"/>
              </w:rPr>
              <w:t>8</w:t>
            </w:r>
            <w:r>
              <w:rPr>
                <w:rStyle w:val="26"/>
                <w:lang w:val="en-US" w:eastAsia="zh-CN" w:bidi="ar"/>
              </w:rPr>
              <w:t>00mm以内）、运输、倒运等涉及的全部工序及人工费、机械费、材料费、措施费、不可竞争费、税金、水电费等全部费用。由施工现场送至厂内指定地点（以磅单为结算依</w:t>
            </w:r>
            <w:r>
              <w:rPr>
                <w:rFonts w:hint="eastAsia" w:ascii="宋体" w:hAnsi="宋体" w:eastAsia="宋体" w:cs="宋体"/>
                <w:i w:val="0"/>
                <w:iCs w:val="0"/>
                <w:color w:val="000000"/>
                <w:kern w:val="0"/>
                <w:sz w:val="20"/>
                <w:szCs w:val="20"/>
                <w:u w:val="none"/>
                <w:lang w:val="en-US" w:eastAsia="zh-CN" w:bidi="ar"/>
              </w:rPr>
              <w:t>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7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钢结构拆除安装（利旧）</w:t>
            </w:r>
          </w:p>
        </w:tc>
        <w:tc>
          <w:tcPr>
            <w:tcW w:w="772" w:type="dxa"/>
            <w:noWrap w:val="0"/>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1"/>
                <w:szCs w:val="21"/>
                <w:u w:val="none"/>
                <w:lang w:val="en-US" w:eastAsia="zh-CN" w:bidi="ar"/>
              </w:rPr>
              <w:t>t</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715"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216" w:type="dxa"/>
            <w:noWrap w:val="0"/>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包括利旧钢构的拆除、倒运、改造、安装、除锈、刷漆等涉及的全部工序及人工费、机械费、材料费（不含钢构材料费）、措施费、不可竞争费、税金、水电费等全部费用。以安装的利旧钢构量计取。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746"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彩钢瓦安装</w:t>
            </w:r>
          </w:p>
        </w:tc>
        <w:tc>
          <w:tcPr>
            <w:tcW w:w="772"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900</w:t>
            </w:r>
          </w:p>
        </w:tc>
        <w:tc>
          <w:tcPr>
            <w:tcW w:w="1715"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1"/>
                <w:szCs w:val="21"/>
                <w:u w:val="none"/>
                <w:lang w:val="en-US" w:eastAsia="zh-CN" w:bidi="ar"/>
              </w:rPr>
              <w:t>m2</w:t>
            </w:r>
          </w:p>
        </w:tc>
        <w:tc>
          <w:tcPr>
            <w:tcW w:w="821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746" w:type="dxa"/>
            <w:noWrap w:val="0"/>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采光瓦安装</w:t>
            </w:r>
          </w:p>
        </w:tc>
        <w:tc>
          <w:tcPr>
            <w:tcW w:w="772"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1715"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1"/>
                <w:szCs w:val="21"/>
                <w:u w:val="none"/>
                <w:lang w:val="en-US" w:eastAsia="zh-CN" w:bidi="ar"/>
              </w:rPr>
              <w:t>m2</w:t>
            </w:r>
          </w:p>
        </w:tc>
        <w:tc>
          <w:tcPr>
            <w:tcW w:w="821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7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746"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彩瓦拆除（含采光瓦）</w:t>
            </w:r>
          </w:p>
        </w:tc>
        <w:tc>
          <w:tcPr>
            <w:tcW w:w="772"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1100</w:t>
            </w:r>
          </w:p>
        </w:tc>
        <w:tc>
          <w:tcPr>
            <w:tcW w:w="1715"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1"/>
                <w:szCs w:val="21"/>
                <w:u w:val="none"/>
                <w:lang w:val="en-US" w:eastAsia="zh-CN" w:bidi="ar"/>
              </w:rPr>
              <w:t>m2</w:t>
            </w:r>
          </w:p>
        </w:tc>
        <w:tc>
          <w:tcPr>
            <w:tcW w:w="8216" w:type="dxa"/>
            <w:noWrap w:val="0"/>
            <w:vAlign w:val="center"/>
          </w:tcPr>
          <w:p>
            <w:pPr>
              <w:keepNext w:val="0"/>
              <w:keepLines w:val="0"/>
              <w:widowControl/>
              <w:suppressLineNumbers w:val="0"/>
              <w:jc w:val="both"/>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kern w:val="0"/>
                <w:sz w:val="20"/>
                <w:szCs w:val="20"/>
                <w:u w:val="none"/>
                <w:lang w:val="en-US" w:eastAsia="zh-CN" w:bidi="ar"/>
              </w:rPr>
              <w:t>包括拆除、分解成块（800mm以内）、运输、倒运等涉及的全部工序及人工费、机械费、材料费、措施费、不可竞争费、税金、水电费等全部费用。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116" w:type="dxa"/>
            <w:gridSpan w:val="6"/>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746" w:type="dxa"/>
            <w:noWrap w:val="0"/>
            <w:vAlign w:val="center"/>
          </w:tcPr>
          <w:p>
            <w:pPr>
              <w:jc w:val="left"/>
              <w:rPr>
                <w:rFonts w:hint="eastAsia" w:ascii="宋体" w:hAnsi="宋体" w:cs="宋体"/>
                <w:sz w:val="24"/>
                <w:szCs w:val="24"/>
              </w:rPr>
            </w:pPr>
            <w:r>
              <w:rPr>
                <w:rFonts w:hint="eastAsia"/>
                <w:sz w:val="24"/>
                <w:szCs w:val="24"/>
              </w:rPr>
              <w:t>优惠率（不包含材料费）</w:t>
            </w:r>
          </w:p>
        </w:tc>
        <w:tc>
          <w:tcPr>
            <w:tcW w:w="772" w:type="dxa"/>
            <w:noWrap w:val="0"/>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项</w:t>
            </w:r>
          </w:p>
        </w:tc>
        <w:tc>
          <w:tcPr>
            <w:tcW w:w="1992" w:type="dxa"/>
            <w:noWrap w:val="0"/>
            <w:vAlign w:val="center"/>
          </w:tcPr>
          <w:p>
            <w:pPr>
              <w:spacing w:before="156" w:beforeLines="50" w:after="156" w:afterLines="50"/>
              <w:jc w:val="left"/>
              <w:rPr>
                <w:rFonts w:hint="eastAsia" w:ascii="宋体" w:hAnsi="宋体" w:cs="宋体"/>
                <w:sz w:val="24"/>
                <w:szCs w:val="24"/>
              </w:rPr>
            </w:pPr>
            <w:r>
              <w:rPr>
                <w:rFonts w:hint="eastAsia" w:ascii="宋体" w:hAnsi="宋体" w:cs="宋体"/>
                <w:sz w:val="22"/>
                <w:szCs w:val="22"/>
              </w:rPr>
              <w:t>暂</w:t>
            </w:r>
            <w:r>
              <w:rPr>
                <w:rFonts w:hint="eastAsia" w:ascii="宋体" w:hAnsi="宋体" w:cs="宋体"/>
                <w:sz w:val="22"/>
                <w:szCs w:val="22"/>
                <w:lang w:val="en-US" w:eastAsia="zh-CN"/>
              </w:rPr>
              <w:t>估</w:t>
            </w:r>
            <w:r>
              <w:rPr>
                <w:rFonts w:hint="eastAsia" w:ascii="宋体" w:hAnsi="宋体" w:cs="宋体"/>
                <w:sz w:val="22"/>
                <w:szCs w:val="22"/>
              </w:rPr>
              <w:t>金额</w:t>
            </w:r>
            <w:r>
              <w:rPr>
                <w:rFonts w:hint="eastAsia" w:ascii="宋体" w:hAnsi="宋体" w:cs="宋体"/>
                <w:sz w:val="22"/>
                <w:szCs w:val="22"/>
                <w:u w:val="single"/>
                <w:lang w:val="en-US" w:eastAsia="zh-CN"/>
              </w:rPr>
              <w:t>20000</w:t>
            </w:r>
            <w:r>
              <w:rPr>
                <w:rFonts w:hint="eastAsia" w:ascii="宋体" w:hAnsi="宋体" w:cs="宋体"/>
                <w:sz w:val="22"/>
                <w:szCs w:val="22"/>
              </w:rPr>
              <w:t>元</w:t>
            </w:r>
          </w:p>
        </w:tc>
        <w:tc>
          <w:tcPr>
            <w:tcW w:w="1715" w:type="dxa"/>
            <w:noWrap w:val="0"/>
            <w:vAlign w:val="center"/>
          </w:tcPr>
          <w:p>
            <w:pPr>
              <w:spacing w:before="156" w:beforeLines="50" w:after="156" w:afterLines="50"/>
              <w:jc w:val="lef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p>
        </w:tc>
        <w:tc>
          <w:tcPr>
            <w:tcW w:w="8216" w:type="dxa"/>
            <w:noWrap w:val="0"/>
            <w:vAlign w:val="top"/>
          </w:tcPr>
          <w:p>
            <w:pPr>
              <w:jc w:val="left"/>
              <w:rPr>
                <w:rFonts w:hint="eastAsia" w:ascii="宋体" w:hAnsi="宋体" w:cs="宋体"/>
                <w:sz w:val="21"/>
                <w:szCs w:val="21"/>
              </w:rPr>
            </w:pPr>
            <w:r>
              <w:rPr>
                <w:rFonts w:hint="eastAsia" w:ascii="宋体" w:hAnsi="宋体" w:cs="宋体"/>
                <w:sz w:val="21"/>
                <w:szCs w:val="21"/>
              </w:rPr>
              <w:t>执行2018版安徽省建设工程计价定额及配套费用定额，材料费不参与总价优惠。措施</w:t>
            </w:r>
            <w:r>
              <w:rPr>
                <w:rFonts w:hint="eastAsia" w:ascii="宋体" w:hAnsi="宋体" w:cs="宋体"/>
                <w:sz w:val="21"/>
                <w:szCs w:val="21"/>
                <w:lang w:val="en-US" w:eastAsia="zh-CN"/>
              </w:rPr>
              <w:t>项目</w:t>
            </w:r>
            <w:r>
              <w:rPr>
                <w:rFonts w:hint="eastAsia" w:ascii="宋体" w:hAnsi="宋体" w:cs="宋体"/>
                <w:sz w:val="21"/>
                <w:szCs w:val="21"/>
              </w:rPr>
              <w:t>费以</w:t>
            </w:r>
            <w:r>
              <w:rPr>
                <w:rFonts w:hint="eastAsia" w:ascii="宋体" w:hAnsi="宋体" w:cs="宋体"/>
                <w:sz w:val="21"/>
                <w:szCs w:val="21"/>
                <w:lang w:val="en-US" w:eastAsia="zh-CN"/>
              </w:rPr>
              <w:t>现场确认</w:t>
            </w:r>
            <w:r>
              <w:rPr>
                <w:rFonts w:hint="eastAsia" w:ascii="宋体" w:hAnsi="宋体" w:cs="宋体"/>
                <w:sz w:val="21"/>
                <w:szCs w:val="21"/>
              </w:rPr>
              <w:t>形式据实计取，二次搬运费不计取。报价折算百分比公式，优惠率=（暂估金额-报价）/暂估金额*100%。</w:t>
            </w:r>
          </w:p>
        </w:tc>
      </w:tr>
    </w:tbl>
    <w:p>
      <w:pPr>
        <w:pStyle w:val="2"/>
        <w:widowControl w:val="0"/>
        <w:numPr>
          <w:ilvl w:val="0"/>
          <w:numId w:val="0"/>
        </w:numPr>
        <w:spacing w:after="120"/>
        <w:ind w:firstLine="4080" w:firstLineChars="1700"/>
        <w:jc w:val="both"/>
        <w:rPr>
          <w:rFonts w:hint="eastAsia" w:ascii="宋体" w:hAnsi="宋体" w:cs="宋体"/>
          <w:color w:val="000000"/>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b/>
          <w:sz w:val="28"/>
          <w:szCs w:val="28"/>
        </w:rPr>
      </w:pPr>
      <w:r>
        <w:rPr>
          <w:rFonts w:hint="eastAsia" w:ascii="仿宋_GB2312" w:eastAsia="仿宋_GB2312"/>
          <w:sz w:val="28"/>
          <w:szCs w:val="28"/>
        </w:rPr>
        <w:t>2、本申请函附有下列内容：</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ind w:left="559" w:leftChars="1" w:hanging="557" w:hangingChars="199"/>
        <w:textAlignment w:val="auto"/>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 xml:space="preserve">                                授权代表（签名或盖章）：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80" w:firstLineChars="1600"/>
        <w:jc w:val="left"/>
        <w:textAlignment w:val="auto"/>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正  面</w:t>
                  </w:r>
                </w:p>
              </w:txbxContent>
            </v:textbox>
          </v:rect>
        </w:pict>
      </w:r>
    </w:p>
    <w:p>
      <w:pPr>
        <w:pStyle w:val="12"/>
        <w:widowControl/>
        <w:ind w:firstLine="420"/>
        <w:rPr>
          <w:rFonts w:hint="eastAsia"/>
        </w:rPr>
      </w:pPr>
    </w:p>
    <w:p>
      <w:pPr>
        <w:pStyle w:val="12"/>
        <w:widowControl/>
        <w:rPr>
          <w:rFonts w:hint="eastAsia"/>
        </w:rPr>
      </w:pPr>
    </w:p>
    <w:p>
      <w:pPr>
        <w:pStyle w:val="12"/>
        <w:widowControl/>
        <w:ind w:firstLine="560" w:firstLineChars="200"/>
        <w:rPr>
          <w:rFonts w:hint="eastAsia"/>
          <w:sz w:val="28"/>
          <w:szCs w:val="28"/>
          <w:lang w:val="en-US" w:eastAsia="zh-CN"/>
        </w:rPr>
      </w:pPr>
    </w:p>
    <w:p>
      <w:pPr>
        <w:pStyle w:val="12"/>
        <w:widowControl/>
        <w:ind w:firstLine="480" w:firstLineChars="200"/>
        <w:rPr>
          <w:rFonts w:hint="default" w:eastAsia="宋体"/>
          <w:lang w:val="en-US" w:eastAsia="zh-CN"/>
        </w:rPr>
      </w:pPr>
      <w:r>
        <w:rPr>
          <w:rFonts w:hint="eastAsia"/>
        </w:rPr>
        <w:pict>
          <v:rect id="_x0000_s1030" o:spid="_x0000_s1030" o:spt="1" style="position:absolute;left:0pt;margin-left:213.65pt;margin-top:31.7pt;height:84.7pt;width:147.5pt;z-index:251663360;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p>
                  <w:pPr>
                    <w:pStyle w:val="2"/>
                  </w:pPr>
                </w:p>
              </w:txbxContent>
            </v:textbox>
          </v:rect>
        </w:pict>
      </w:r>
      <w:r>
        <w:rPr>
          <w:rFonts w:hint="eastAsia"/>
        </w:rPr>
        <w:pict>
          <v:rect id="_x0000_s1029" o:spid="_x0000_s1029" o:spt="1" style="position:absolute;left:0pt;margin-left:41.7pt;margin-top:31.7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pPr>
                  <w:r>
                    <w:rPr>
                      <w:rFonts w:hint="eastAsia"/>
                      <w:lang w:val="en-US" w:eastAsia="zh-CN"/>
                    </w:rPr>
                    <w:t>正  面</w:t>
                  </w:r>
                </w:p>
              </w:txbxContent>
            </v:textbox>
          </v:rect>
        </w:pict>
      </w:r>
      <w:r>
        <w:rPr>
          <w:rFonts w:hint="eastAsia"/>
          <w:sz w:val="28"/>
          <w:szCs w:val="28"/>
          <w:lang w:val="en-US" w:eastAsia="zh-CN"/>
        </w:rPr>
        <w:t>法人代表身份证复印件：</w:t>
      </w:r>
    </w:p>
    <w:p>
      <w:pPr>
        <w:pStyle w:val="12"/>
        <w:widowControl/>
        <w:rPr>
          <w:rFonts w:hint="default" w:eastAsia="宋体"/>
          <w:lang w:val="en-US" w:eastAsia="zh-CN"/>
        </w:rPr>
      </w:pPr>
      <w:r>
        <w:rPr>
          <w:rFonts w:hint="eastAsia"/>
          <w:lang w:val="en-US" w:eastAsia="zh-CN"/>
        </w:rPr>
        <w:t xml:space="preserve">      </w:t>
      </w:r>
    </w:p>
    <w:p>
      <w:pPr>
        <w:pStyle w:val="12"/>
        <w:widowControl/>
        <w:rPr>
          <w:rFonts w:hint="eastAsia"/>
        </w:rPr>
      </w:pPr>
    </w:p>
    <w:p>
      <w:pPr>
        <w:pStyle w:val="12"/>
        <w:widowControl/>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1D6583"/>
    <w:rsid w:val="049C5847"/>
    <w:rsid w:val="05DC49B6"/>
    <w:rsid w:val="08A47291"/>
    <w:rsid w:val="09A50080"/>
    <w:rsid w:val="09C74F5E"/>
    <w:rsid w:val="09E638BB"/>
    <w:rsid w:val="0C4264BF"/>
    <w:rsid w:val="0CDA2242"/>
    <w:rsid w:val="0DFC1491"/>
    <w:rsid w:val="0E46415B"/>
    <w:rsid w:val="0F5072FB"/>
    <w:rsid w:val="12186FE6"/>
    <w:rsid w:val="13E821FB"/>
    <w:rsid w:val="154E0112"/>
    <w:rsid w:val="1A614AD2"/>
    <w:rsid w:val="1DC136C9"/>
    <w:rsid w:val="1DE33AE7"/>
    <w:rsid w:val="1F240430"/>
    <w:rsid w:val="1F60580A"/>
    <w:rsid w:val="20B03224"/>
    <w:rsid w:val="214D2E1E"/>
    <w:rsid w:val="21F73AF2"/>
    <w:rsid w:val="22574413"/>
    <w:rsid w:val="23883F50"/>
    <w:rsid w:val="24C93CD8"/>
    <w:rsid w:val="24E835CF"/>
    <w:rsid w:val="24F54080"/>
    <w:rsid w:val="263B1C6F"/>
    <w:rsid w:val="27CB43C4"/>
    <w:rsid w:val="282A37D0"/>
    <w:rsid w:val="2838415D"/>
    <w:rsid w:val="2B7C00FD"/>
    <w:rsid w:val="2BB21C22"/>
    <w:rsid w:val="2EBF74DB"/>
    <w:rsid w:val="326329B3"/>
    <w:rsid w:val="33DF1EB4"/>
    <w:rsid w:val="34481C4C"/>
    <w:rsid w:val="3491604D"/>
    <w:rsid w:val="375F33F1"/>
    <w:rsid w:val="38EA6EF5"/>
    <w:rsid w:val="40D43A56"/>
    <w:rsid w:val="414F268B"/>
    <w:rsid w:val="42BD7D8D"/>
    <w:rsid w:val="4494055D"/>
    <w:rsid w:val="452453F0"/>
    <w:rsid w:val="466D1141"/>
    <w:rsid w:val="47614EF9"/>
    <w:rsid w:val="477A6E15"/>
    <w:rsid w:val="492349FE"/>
    <w:rsid w:val="492D560E"/>
    <w:rsid w:val="4C431ECB"/>
    <w:rsid w:val="4E4F6905"/>
    <w:rsid w:val="4F9F6F3E"/>
    <w:rsid w:val="52631A2B"/>
    <w:rsid w:val="529A772A"/>
    <w:rsid w:val="567534EE"/>
    <w:rsid w:val="567842B0"/>
    <w:rsid w:val="582A7EEA"/>
    <w:rsid w:val="583C7C29"/>
    <w:rsid w:val="59A06F0E"/>
    <w:rsid w:val="5AB76A94"/>
    <w:rsid w:val="5B0F0AB4"/>
    <w:rsid w:val="5D882CE0"/>
    <w:rsid w:val="63FE10F7"/>
    <w:rsid w:val="641805D6"/>
    <w:rsid w:val="64A26E4D"/>
    <w:rsid w:val="66296C18"/>
    <w:rsid w:val="67236DF1"/>
    <w:rsid w:val="678D2F4E"/>
    <w:rsid w:val="6903317D"/>
    <w:rsid w:val="6A715D94"/>
    <w:rsid w:val="6C7D1BC0"/>
    <w:rsid w:val="724E1F86"/>
    <w:rsid w:val="740F0761"/>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8643</Words>
  <Characters>9237</Characters>
  <Lines>80</Lines>
  <Paragraphs>22</Paragraphs>
  <TotalTime>2</TotalTime>
  <ScaleCrop>false</ScaleCrop>
  <LinksUpToDate>false</LinksUpToDate>
  <CharactersWithSpaces>10352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谢金林（芜湖新兴）18055375917</cp:lastModifiedBy>
  <cp:lastPrinted>2020-11-26T06:22:00Z</cp:lastPrinted>
  <dcterms:modified xsi:type="dcterms:W3CDTF">2022-04-21T09:42:39Z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D1A0F34327A0413C96BBF0182386BB71</vt:lpwstr>
  </property>
</Properties>
</file>