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炼钢部、轧钢部倒运项目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4</w:t>
      </w:r>
      <w:r>
        <w:rPr>
          <w:rFonts w:ascii="宋体" w:hAnsi="宋体"/>
          <w:color w:val="000000"/>
        </w:rPr>
        <w:t>月</w:t>
      </w:r>
      <w:r>
        <w:rPr>
          <w:rFonts w:hint="eastAsia" w:ascii="宋体" w:hAnsi="宋体"/>
          <w:color w:val="000000"/>
          <w:lang w:val="en-US" w:eastAsia="zh-CN"/>
        </w:rPr>
        <w:t>19</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YSQC202105005LGBZGBDYXM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炼钢部、轧钢部倒运项目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炼钢部倒运项目：</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1、炼钢部钢渣及磁选产品倒运。2部重型自卸车，24小时作业。两车共倒运约25-30车/天。钢渣约有70℃。</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2、炼钢部合金、辅料、原料、除尘灰、氧化铁皮、干湿淤泥、中包垃圾、精炼炉钢渣倒运。2部重型自卸车，24小时作业，约20车/天。</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3、废钢坯、中包块、备品备件倒运及零星倒运。9.6米平板1部，车厢底板需要加固，24小时作业，约12车/天。</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轧钢部倒运项目：</w:t>
      </w:r>
    </w:p>
    <w:p>
      <w:pPr>
        <w:numPr>
          <w:ilvl w:val="0"/>
          <w:numId w:val="1"/>
        </w:num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轧钢部轧废和氧化铁皮倒运及其他零星倒运。2部重型自卸车，24小时作业。</w:t>
      </w:r>
    </w:p>
    <w:p>
      <w:pPr>
        <w:numPr>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6</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11</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2"/>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2"/>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lang w:val="en-US" w:eastAsia="zh-CN"/>
        </w:rPr>
        <w:t>6</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2"/>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2"/>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2"/>
        </w:numPr>
        <w:spacing w:line="240" w:lineRule="auto"/>
        <w:jc w:val="both"/>
        <w:rPr>
          <w:rFonts w:ascii="宋体" w:hAnsi="宋体"/>
          <w:b/>
        </w:rPr>
      </w:pPr>
      <w:r>
        <w:rPr>
          <w:rFonts w:hint="eastAsia" w:ascii="宋体" w:hAnsi="宋体"/>
          <w:b/>
        </w:rPr>
        <w:t>投标人要求</w:t>
      </w:r>
    </w:p>
    <w:p>
      <w:pPr>
        <w:widowControl w:val="0"/>
        <w:numPr>
          <w:ilvl w:val="0"/>
          <w:numId w:val="3"/>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4"/>
        </w:numPr>
        <w:jc w:val="both"/>
        <w:rPr>
          <w:rFonts w:ascii="宋体" w:hAnsi="宋体"/>
        </w:rPr>
      </w:pPr>
      <w:r>
        <w:rPr>
          <w:rFonts w:hint="eastAsia" w:ascii="宋体" w:hAnsi="宋体"/>
        </w:rPr>
        <w:t>具有独立订立合同的权利。</w:t>
      </w:r>
    </w:p>
    <w:p>
      <w:pPr>
        <w:widowControl w:val="0"/>
        <w:numPr>
          <w:ilvl w:val="0"/>
          <w:numId w:val="4"/>
        </w:numPr>
        <w:jc w:val="both"/>
        <w:rPr>
          <w:rFonts w:hint="eastAsia" w:ascii="宋体" w:hAnsi="宋体"/>
          <w:color w:val="FF0000"/>
        </w:rPr>
      </w:pPr>
      <w:r>
        <w:rPr>
          <w:rFonts w:hint="eastAsia" w:ascii="宋体" w:hAnsi="宋体"/>
        </w:rPr>
        <w:t>必须有履约能力和一定垫资能力。</w:t>
      </w:r>
    </w:p>
    <w:p>
      <w:pPr>
        <w:widowControl w:val="0"/>
        <w:numPr>
          <w:ilvl w:val="0"/>
          <w:numId w:val="4"/>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4"/>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3"/>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5"/>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5"/>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5"/>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6"/>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7"/>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7"/>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8"/>
        </w:numPr>
        <w:spacing w:line="240" w:lineRule="auto"/>
        <w:ind w:left="0" w:leftChars="0" w:firstLine="480" w:firstLineChars="200"/>
        <w:rPr>
          <w:rFonts w:ascii="宋体" w:hAnsi="宋体"/>
        </w:rPr>
      </w:pPr>
      <w:r>
        <w:rPr>
          <w:rFonts w:ascii="宋体" w:hAnsi="宋体"/>
        </w:rPr>
        <w:t>投标文件有密封与标记</w:t>
      </w:r>
    </w:p>
    <w:p>
      <w:pPr>
        <w:numPr>
          <w:ilvl w:val="0"/>
          <w:numId w:val="8"/>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8"/>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8"/>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9"/>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9"/>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9"/>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9"/>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9"/>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9"/>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9"/>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10"/>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10"/>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车辆须达到国五及以上排放标准，应根据芜湖新兴铸管的需要提供排放达标的证明材料。倒运易扬尘物料的车辆，必须采取全覆盖措施（非人工）。车辆因维修、保养不能作业时，承揽单位应及时安排备用车辆作业，以保证芜湖新兴正常生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4、合同履约保证金为10万元人民币，承揽单位应在合同订立前从其基本账户转出。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6、承揽单位作业人员、车辆应在合同履行前10日全部到位，以完成人员培训、人员进厂手续及车辆进厂手续等。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9、在合同履行中，承揽单位必须遵守芜湖新兴的安全、生产、环保、质量、现场、车辆交通等规章制度。如违反相关规章制度，芜湖新兴将依据规章制度要求给予考核。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11、结算方式：按月结算，收票次月付款（转账或现汇）。</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12、合同期：2021年6月28日----2023年6月27日。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97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2"/>
        <w:gridCol w:w="2790"/>
        <w:gridCol w:w="1470"/>
        <w:gridCol w:w="3444"/>
        <w:gridCol w:w="750"/>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i w:val="0"/>
                <w:snapToGrid/>
                <w:color w:val="auto"/>
                <w:sz w:val="24"/>
                <w:szCs w:val="24"/>
                <w:u w:val="none"/>
                <w:lang w:eastAsia="zh-CN"/>
              </w:rPr>
            </w:pPr>
            <w:r>
              <w:rPr>
                <w:rFonts w:hint="eastAsia" w:ascii="宋体" w:hAnsi="宋体"/>
                <w:b w:val="0"/>
                <w:bCs w:val="0"/>
                <w:i w:val="0"/>
                <w:snapToGrid/>
                <w:color w:val="auto"/>
                <w:sz w:val="24"/>
                <w:szCs w:val="24"/>
                <w:u w:val="none"/>
                <w:lang w:eastAsia="zh-CN"/>
              </w:rPr>
              <w:t>序号</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eastAsia="宋体"/>
                <w:b w:val="0"/>
                <w:bCs w:val="0"/>
                <w:i w:val="0"/>
                <w:snapToGrid/>
                <w:color w:val="auto"/>
                <w:sz w:val="24"/>
                <w:szCs w:val="24"/>
                <w:u w:val="none"/>
                <w:lang w:eastAsia="zh-CN"/>
              </w:rPr>
              <w:t>业务内容</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default" w:ascii="宋体" w:hAnsi="宋体" w:eastAsia="宋体"/>
                <w:b w:val="0"/>
                <w:bCs w:val="0"/>
                <w:i w:val="0"/>
                <w:snapToGrid/>
                <w:color w:val="auto"/>
                <w:sz w:val="24"/>
                <w:szCs w:val="24"/>
                <w:u w:val="none"/>
                <w:lang w:eastAsia="zh-CN"/>
              </w:rPr>
              <w:t>车型</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snapToGrid/>
                <w:color w:val="auto"/>
                <w:sz w:val="24"/>
                <w:szCs w:val="24"/>
                <w:lang w:eastAsia="zh-CN"/>
              </w:rPr>
            </w:pPr>
            <w:r>
              <w:rPr>
                <w:rFonts w:hint="eastAsia" w:ascii="宋体" w:hAnsi="宋体"/>
                <w:b w:val="0"/>
                <w:bCs w:val="0"/>
                <w:snapToGrid/>
                <w:color w:val="auto"/>
                <w:sz w:val="24"/>
                <w:szCs w:val="24"/>
                <w:lang w:eastAsia="zh-CN"/>
              </w:rPr>
              <w:t>结算方式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r>
              <w:rPr>
                <w:rFonts w:hint="default" w:ascii="宋体" w:hAnsi="宋体" w:eastAsia="宋体"/>
                <w:b w:val="0"/>
                <w:bCs w:val="0"/>
                <w:i w:val="0"/>
                <w:snapToGrid/>
                <w:color w:val="auto"/>
                <w:sz w:val="24"/>
                <w:szCs w:val="24"/>
                <w:u w:val="none"/>
                <w:lang w:eastAsia="zh-CN"/>
              </w:rPr>
              <w:t>单</w:t>
            </w:r>
            <w:r>
              <w:rPr>
                <w:rFonts w:hint="eastAsia" w:ascii="宋体" w:hAnsi="宋体" w:eastAsia="宋体"/>
                <w:b w:val="0"/>
                <w:bCs w:val="0"/>
                <w:i w:val="0"/>
                <w:snapToGrid/>
                <w:color w:val="auto"/>
                <w:sz w:val="24"/>
                <w:szCs w:val="24"/>
                <w:u w:val="none"/>
                <w:lang w:val="en-US" w:eastAsia="zh-CN"/>
              </w:rPr>
              <w:t xml:space="preserve"> </w:t>
            </w:r>
            <w:r>
              <w:rPr>
                <w:rFonts w:hint="default" w:ascii="宋体" w:hAnsi="宋体" w:eastAsia="宋体"/>
                <w:b w:val="0"/>
                <w:bCs w:val="0"/>
                <w:i w:val="0"/>
                <w:snapToGrid/>
                <w:color w:val="auto"/>
                <w:sz w:val="24"/>
                <w:szCs w:val="24"/>
                <w:u w:val="none"/>
                <w:lang w:eastAsia="zh-CN"/>
              </w:rPr>
              <w:t>价</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b w:val="0"/>
                <w:bCs w:val="0"/>
                <w:i w:val="0"/>
                <w:snapToGrid/>
                <w:color w:val="auto"/>
                <w:sz w:val="24"/>
                <w:szCs w:val="24"/>
                <w:u w:val="none"/>
                <w:lang w:eastAsia="zh-CN"/>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8"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炼钢部钢渣及磁选产品倒运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重型自卸车</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val="en-US" w:eastAsia="zh-CN"/>
              </w:rPr>
              <w:t>（2辆）</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棒磨产品倒运量</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倒运量约</w:t>
            </w:r>
            <w:r>
              <w:rPr>
                <w:rFonts w:hint="eastAsia" w:ascii="宋体" w:hAnsi="宋体" w:cs="宋体"/>
                <w:b w:val="0"/>
                <w:bCs w:val="0"/>
                <w:i w:val="0"/>
                <w:color w:val="auto"/>
                <w:sz w:val="24"/>
                <w:szCs w:val="24"/>
                <w:lang w:val="en-US" w:eastAsia="zh-CN"/>
              </w:rPr>
              <w:t>3.5万</w:t>
            </w:r>
            <w:r>
              <w:rPr>
                <w:rFonts w:hint="eastAsia" w:ascii="宋体" w:hAnsi="宋体" w:eastAsia="宋体" w:cs="宋体"/>
                <w:b w:val="0"/>
                <w:bCs w:val="0"/>
                <w:i w:val="0"/>
                <w:color w:val="auto"/>
                <w:sz w:val="24"/>
                <w:szCs w:val="24"/>
                <w:lang w:val="en-US" w:eastAsia="zh-CN"/>
              </w:rPr>
              <w:t>吨</w:t>
            </w:r>
            <w:r>
              <w:rPr>
                <w:rFonts w:hint="eastAsia" w:ascii="宋体" w:hAnsi="宋体" w:cs="宋体"/>
                <w:b w:val="0"/>
                <w:bCs w:val="0"/>
                <w:i w:val="0"/>
                <w:color w:val="auto"/>
                <w:sz w:val="24"/>
                <w:szCs w:val="24"/>
                <w:lang w:val="en-US" w:eastAsia="zh-CN"/>
              </w:rPr>
              <w:t>/月</w:t>
            </w:r>
          </w:p>
        </w:tc>
        <w:tc>
          <w:tcPr>
            <w:tcW w:w="75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val="en-US" w:eastAsia="zh-CN"/>
              </w:rPr>
              <w:t>炼钢部合金、辅料、原料、除尘灰、氧化铁皮、干湿淤泥、中包垃圾、精炼炉钢渣倒运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重型自卸车</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w:t>
            </w:r>
            <w:r>
              <w:rPr>
                <w:rFonts w:hint="eastAsia" w:ascii="宋体" w:hAnsi="宋体" w:cs="宋体"/>
                <w:b w:val="0"/>
                <w:bCs w:val="0"/>
                <w:color w:val="auto"/>
                <w:sz w:val="24"/>
                <w:szCs w:val="24"/>
                <w:vertAlign w:val="baseline"/>
                <w:lang w:val="en-US" w:eastAsia="zh-CN"/>
              </w:rPr>
              <w:t>2辆</w:t>
            </w:r>
            <w:r>
              <w:rPr>
                <w:rFonts w:hint="eastAsia" w:ascii="宋体" w:hAnsi="宋体" w:cs="宋体"/>
                <w:b w:val="0"/>
                <w:bCs w:val="0"/>
                <w:color w:val="auto"/>
                <w:sz w:val="24"/>
                <w:szCs w:val="24"/>
                <w:vertAlign w:val="baseline"/>
                <w:lang w:eastAsia="zh-CN"/>
              </w:rPr>
              <w:t>）</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钢产量</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钢产量约</w:t>
            </w:r>
            <w:r>
              <w:rPr>
                <w:rFonts w:hint="eastAsia" w:ascii="宋体" w:hAnsi="宋体" w:cs="宋体"/>
                <w:b w:val="0"/>
                <w:bCs w:val="0"/>
                <w:i w:val="0"/>
                <w:color w:val="auto"/>
                <w:sz w:val="24"/>
                <w:szCs w:val="24"/>
                <w:lang w:val="en-US" w:eastAsia="zh-CN"/>
              </w:rPr>
              <w:t>25.2万吨/月</w:t>
            </w:r>
          </w:p>
        </w:tc>
        <w:tc>
          <w:tcPr>
            <w:tcW w:w="75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98" w:hRule="atLeast"/>
          <w:jc w:val="center"/>
        </w:trPr>
        <w:tc>
          <w:tcPr>
            <w:tcW w:w="60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2790" w:type="dxa"/>
            <w:tcBorders>
              <w:top w:val="single" w:color="auto" w:sz="4" w:space="0"/>
              <w:left w:val="single" w:color="000000" w:sz="4" w:space="0"/>
              <w:bottom w:val="single" w:color="000000"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废钢坯、中包块、备品备件倒运及零星倒运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9.6米平板</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w:t>
            </w:r>
            <w:r>
              <w:rPr>
                <w:rFonts w:hint="eastAsia" w:ascii="宋体" w:hAnsi="宋体" w:cs="宋体"/>
                <w:b w:val="0"/>
                <w:bCs w:val="0"/>
                <w:color w:val="auto"/>
                <w:sz w:val="24"/>
                <w:szCs w:val="24"/>
                <w:vertAlign w:val="baseline"/>
                <w:lang w:val="en-US" w:eastAsia="zh-CN"/>
              </w:rPr>
              <w:t>1</w:t>
            </w:r>
            <w:r>
              <w:rPr>
                <w:rFonts w:hint="eastAsia" w:ascii="宋体" w:hAnsi="宋体" w:cs="宋体"/>
                <w:b w:val="0"/>
                <w:bCs w:val="0"/>
                <w:color w:val="auto"/>
                <w:sz w:val="24"/>
                <w:szCs w:val="24"/>
                <w:vertAlign w:val="baseline"/>
                <w:lang w:eastAsia="zh-CN"/>
              </w:rPr>
              <w:t>辆）</w:t>
            </w:r>
          </w:p>
        </w:tc>
        <w:tc>
          <w:tcPr>
            <w:tcW w:w="344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钢产量</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钢产量约</w:t>
            </w:r>
            <w:r>
              <w:rPr>
                <w:rFonts w:hint="eastAsia" w:ascii="宋体" w:hAnsi="宋体" w:cs="宋体"/>
                <w:b w:val="0"/>
                <w:bCs w:val="0"/>
                <w:i w:val="0"/>
                <w:color w:val="auto"/>
                <w:sz w:val="24"/>
                <w:szCs w:val="24"/>
                <w:lang w:val="en-US" w:eastAsia="zh-CN"/>
              </w:rPr>
              <w:t>25.2万吨/月</w:t>
            </w:r>
          </w:p>
        </w:tc>
        <w:tc>
          <w:tcPr>
            <w:tcW w:w="750" w:type="dxa"/>
            <w:tcBorders>
              <w:top w:val="single" w:color="auto" w:sz="4" w:space="0"/>
              <w:left w:val="single" w:color="000000" w:sz="4" w:space="0"/>
              <w:bottom w:val="single" w:color="000000" w:sz="4" w:space="0"/>
              <w:right w:val="single" w:color="000000" w:sz="4" w:space="0"/>
            </w:tcBorders>
            <w:vAlign w:val="bottom"/>
          </w:tcPr>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auto"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35" w:hRule="atLeast"/>
          <w:jc w:val="center"/>
        </w:trPr>
        <w:tc>
          <w:tcPr>
            <w:tcW w:w="602"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c>
          <w:tcPr>
            <w:tcW w:w="2790" w:type="dxa"/>
            <w:tcBorders>
              <w:top w:val="single" w:color="000000" w:sz="4" w:space="0"/>
              <w:left w:val="single" w:color="000000" w:sz="4" w:space="0"/>
              <w:bottom w:val="single" w:color="000000" w:sz="4" w:space="0"/>
              <w:right w:val="single" w:color="auto" w:sz="4" w:space="0"/>
            </w:tcBorders>
            <w:vAlign w:val="center"/>
          </w:tcPr>
          <w:p>
            <w:pPr>
              <w:spacing w:line="360" w:lineRule="auto"/>
              <w:ind w:firstLine="480" w:firstLineChars="200"/>
              <w:jc w:val="left"/>
              <w:rPr>
                <w:rFonts w:hint="eastAsia" w:ascii="宋体" w:hAnsi="宋体"/>
                <w:b w:val="0"/>
                <w:bCs w:val="0"/>
                <w:i w:val="0"/>
                <w:snapToGrid/>
                <w:color w:val="auto"/>
                <w:sz w:val="24"/>
                <w:szCs w:val="24"/>
                <w:u w:val="none"/>
                <w:lang w:eastAsia="zh-CN"/>
              </w:rPr>
            </w:pPr>
            <w:r>
              <w:rPr>
                <w:rFonts w:hint="eastAsia" w:ascii="宋体" w:hAnsi="宋体" w:cs="宋体"/>
                <w:b w:val="0"/>
                <w:bCs w:val="0"/>
                <w:color w:val="auto"/>
                <w:sz w:val="24"/>
                <w:szCs w:val="24"/>
                <w:lang w:eastAsia="zh-CN"/>
              </w:rPr>
              <w:t>轧钢部轧废和氧化铁皮倒运及其他零星倒运</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重型自卸车</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b w:val="0"/>
                <w:bCs w:val="0"/>
                <w:color w:val="auto"/>
                <w:sz w:val="24"/>
                <w:szCs w:val="24"/>
                <w:vertAlign w:val="baseline"/>
                <w:lang w:eastAsia="zh-CN"/>
              </w:rPr>
              <w:t>（</w:t>
            </w:r>
            <w:r>
              <w:rPr>
                <w:rFonts w:hint="eastAsia" w:ascii="宋体" w:hAnsi="宋体" w:cs="宋体"/>
                <w:b w:val="0"/>
                <w:bCs w:val="0"/>
                <w:color w:val="auto"/>
                <w:sz w:val="24"/>
                <w:szCs w:val="24"/>
                <w:vertAlign w:val="baseline"/>
                <w:lang w:val="en-US" w:eastAsia="zh-CN"/>
              </w:rPr>
              <w:t>2辆</w:t>
            </w:r>
            <w:r>
              <w:rPr>
                <w:rFonts w:hint="eastAsia" w:ascii="宋体" w:hAnsi="宋体" w:cs="宋体"/>
                <w:b w:val="0"/>
                <w:bCs w:val="0"/>
                <w:color w:val="auto"/>
                <w:sz w:val="24"/>
                <w:szCs w:val="24"/>
                <w:vertAlign w:val="baseline"/>
                <w:lang w:eastAsia="zh-CN"/>
              </w:rPr>
              <w:t>）</w:t>
            </w:r>
          </w:p>
        </w:tc>
        <w:tc>
          <w:tcPr>
            <w:tcW w:w="3444"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i w:val="0"/>
                <w:color w:val="auto"/>
                <w:sz w:val="24"/>
                <w:szCs w:val="24"/>
              </w:rPr>
            </w:pPr>
            <w:r>
              <w:rPr>
                <w:rFonts w:hint="eastAsia" w:ascii="宋体" w:hAnsi="宋体" w:cs="宋体"/>
                <w:b w:val="0"/>
                <w:bCs w:val="0"/>
                <w:i w:val="0"/>
                <w:color w:val="auto"/>
                <w:sz w:val="24"/>
                <w:szCs w:val="24"/>
                <w:lang w:eastAsia="zh-CN"/>
              </w:rPr>
              <w:t>结算</w:t>
            </w:r>
            <w:r>
              <w:rPr>
                <w:rFonts w:hint="eastAsia" w:ascii="宋体" w:hAnsi="宋体" w:eastAsia="宋体" w:cs="宋体"/>
                <w:b w:val="0"/>
                <w:bCs w:val="0"/>
                <w:i w:val="0"/>
                <w:color w:val="auto"/>
                <w:sz w:val="24"/>
                <w:szCs w:val="24"/>
              </w:rPr>
              <w:t>费用=</w:t>
            </w:r>
            <w:r>
              <w:rPr>
                <w:rFonts w:hint="eastAsia" w:ascii="宋体" w:hAnsi="宋体" w:cs="宋体"/>
                <w:b w:val="0"/>
                <w:bCs w:val="0"/>
                <w:i w:val="0"/>
                <w:color w:val="auto"/>
                <w:sz w:val="24"/>
                <w:szCs w:val="24"/>
                <w:lang w:eastAsia="zh-CN"/>
              </w:rPr>
              <w:t>倒运吨位</w:t>
            </w:r>
            <w:r>
              <w:rPr>
                <w:rFonts w:hint="eastAsia" w:ascii="宋体" w:hAnsi="宋体" w:eastAsia="宋体" w:cs="宋体"/>
                <w:b w:val="0"/>
                <w:bCs w:val="0"/>
                <w:i w:val="0"/>
                <w:color w:val="auto"/>
                <w:sz w:val="24"/>
                <w:szCs w:val="24"/>
              </w:rPr>
              <w:t>*单价</w:t>
            </w:r>
          </w:p>
          <w:p>
            <w:pPr>
              <w:spacing w:line="360" w:lineRule="auto"/>
              <w:jc w:val="center"/>
              <w:rPr>
                <w:rFonts w:hint="default" w:ascii="宋体" w:hAnsi="宋体"/>
                <w:b w:val="0"/>
                <w:bCs w:val="0"/>
                <w:i w:val="0"/>
                <w:snapToGrid/>
                <w:color w:val="auto"/>
                <w:sz w:val="24"/>
                <w:szCs w:val="24"/>
                <w:u w:val="none"/>
                <w:lang w:val="en-US" w:eastAsia="zh-CN"/>
              </w:rPr>
            </w:pPr>
            <w:r>
              <w:rPr>
                <w:rFonts w:hint="eastAsia" w:ascii="宋体" w:hAnsi="宋体" w:cs="宋体"/>
                <w:b w:val="0"/>
                <w:bCs w:val="0"/>
                <w:i w:val="0"/>
                <w:color w:val="auto"/>
                <w:sz w:val="24"/>
                <w:szCs w:val="24"/>
                <w:lang w:eastAsia="zh-CN"/>
              </w:rPr>
              <w:t>倒运量约</w:t>
            </w:r>
            <w:r>
              <w:rPr>
                <w:rFonts w:hint="eastAsia" w:ascii="宋体" w:hAnsi="宋体" w:cs="宋体"/>
                <w:b w:val="0"/>
                <w:bCs w:val="0"/>
                <w:i w:val="0"/>
                <w:color w:val="auto"/>
                <w:sz w:val="24"/>
                <w:szCs w:val="24"/>
                <w:lang w:val="en-US" w:eastAsia="zh-CN"/>
              </w:rPr>
              <w:t>7600吨/月</w:t>
            </w:r>
          </w:p>
        </w:tc>
        <w:tc>
          <w:tcPr>
            <w:tcW w:w="75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hint="eastAsia" w:ascii="宋体" w:hAnsi="宋体"/>
                <w:b w:val="0"/>
                <w:bCs w:val="0"/>
                <w:i w:val="0"/>
                <w:snapToGrid/>
                <w:color w:val="auto"/>
                <w:sz w:val="24"/>
                <w:szCs w:val="24"/>
                <w:u w:val="none"/>
                <w:lang w:eastAsia="zh-CN"/>
              </w:rPr>
            </w:pPr>
            <w:r>
              <w:rPr>
                <w:rFonts w:hint="eastAsia" w:ascii="宋体" w:hAnsi="宋体" w:eastAsia="宋体" w:cs="宋体"/>
                <w:b w:val="0"/>
                <w:bCs w:val="0"/>
                <w:color w:val="auto"/>
                <w:sz w:val="24"/>
                <w:szCs w:val="24"/>
                <w:vertAlign w:val="baseline"/>
                <w:lang w:eastAsia="zh-CN"/>
              </w:rPr>
              <w:t>元</w:t>
            </w:r>
            <w:r>
              <w:rPr>
                <w:rFonts w:hint="eastAsia" w:ascii="宋体" w:hAnsi="宋体" w:eastAsia="宋体" w:cs="宋体"/>
                <w:b w:val="0"/>
                <w:bCs w:val="0"/>
                <w:color w:val="auto"/>
                <w:sz w:val="24"/>
                <w:szCs w:val="24"/>
                <w:vertAlign w:val="baseline"/>
                <w:lang w:val="en-US" w:eastAsia="zh-CN"/>
              </w:rPr>
              <w:t>/吨</w:t>
            </w:r>
          </w:p>
        </w:tc>
        <w:tc>
          <w:tcPr>
            <w:tcW w:w="686"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jc w:val="center"/>
        </w:trPr>
        <w:tc>
          <w:tcPr>
            <w:tcW w:w="905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合</w:t>
            </w:r>
            <w:r>
              <w:rPr>
                <w:rFonts w:hint="eastAsia" w:ascii="宋体" w:hAnsi="宋体" w:cs="宋体"/>
                <w:b w:val="0"/>
                <w:bCs w:val="0"/>
                <w:color w:val="auto"/>
                <w:sz w:val="24"/>
                <w:szCs w:val="24"/>
                <w:vertAlign w:val="baseline"/>
                <w:lang w:val="en-US" w:eastAsia="zh-CN"/>
              </w:rPr>
              <w:t xml:space="preserve">   </w:t>
            </w:r>
            <w:r>
              <w:rPr>
                <w:rFonts w:hint="eastAsia" w:ascii="宋体" w:hAnsi="宋体" w:cs="宋体"/>
                <w:b w:val="0"/>
                <w:bCs w:val="0"/>
                <w:color w:val="auto"/>
                <w:sz w:val="24"/>
                <w:szCs w:val="24"/>
                <w:vertAlign w:val="baseline"/>
                <w:lang w:eastAsia="zh-CN"/>
              </w:rPr>
              <w:t>计</w:t>
            </w:r>
          </w:p>
        </w:tc>
        <w:tc>
          <w:tcPr>
            <w:tcW w:w="686"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bCs w:val="0"/>
                <w:i w:val="0"/>
                <w:snapToGrid/>
                <w:color w:val="auto"/>
                <w:sz w:val="24"/>
                <w:szCs w:val="24"/>
                <w:u w:val="none"/>
                <w:lang w:eastAsia="zh-CN"/>
              </w:rPr>
            </w:pPr>
          </w:p>
        </w:tc>
      </w:tr>
    </w:tbl>
    <w:p>
      <w:pPr>
        <w:widowControl w:val="0"/>
        <w:numPr>
          <w:ilvl w:val="0"/>
          <w:numId w:val="0"/>
        </w:numPr>
        <w:spacing w:line="360" w:lineRule="auto"/>
        <w:jc w:val="both"/>
        <w:rPr>
          <w:rFonts w:hint="eastAsia" w:ascii="宋体" w:hAnsi="宋体" w:cs="宋体"/>
          <w:color w:val="auto"/>
          <w:kern w:val="2"/>
          <w:sz w:val="24"/>
          <w:szCs w:val="22"/>
          <w:lang w:val="en-US" w:eastAsia="zh-CN"/>
        </w:rPr>
      </w:pPr>
    </w:p>
    <w:p>
      <w:pPr>
        <w:numPr>
          <w:ilvl w:val="0"/>
          <w:numId w:val="0"/>
        </w:numPr>
        <w:spacing w:line="360" w:lineRule="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备注：</w:t>
      </w:r>
    </w:p>
    <w:p>
      <w:pPr>
        <w:numPr>
          <w:ilvl w:val="0"/>
          <w:numId w:val="11"/>
        </w:numPr>
        <w:spacing w:line="360" w:lineRule="auto"/>
        <w:ind w:left="0" w:leftChars="0" w:firstLine="0" w:firstLineChars="0"/>
        <w:rPr>
          <w:rFonts w:hint="eastAsia" w:ascii="宋体" w:hAnsi="宋体" w:eastAsia="宋体" w:cs="宋体"/>
          <w:sz w:val="24"/>
          <w:szCs w:val="22"/>
          <w:lang w:eastAsia="zh-CN"/>
        </w:rPr>
      </w:pPr>
      <w:r>
        <w:rPr>
          <w:rFonts w:hint="eastAsia" w:ascii="宋体" w:hAnsi="宋体" w:eastAsia="宋体" w:cs="宋体"/>
          <w:color w:val="auto"/>
          <w:sz w:val="24"/>
          <w:szCs w:val="22"/>
          <w:lang w:val="en-US" w:eastAsia="zh-CN"/>
        </w:rPr>
        <w:t>钢产量产量依据</w:t>
      </w:r>
      <w:r>
        <w:rPr>
          <w:rFonts w:hint="eastAsia" w:ascii="宋体" w:hAnsi="宋体" w:cs="宋体"/>
          <w:color w:val="auto"/>
          <w:sz w:val="24"/>
          <w:szCs w:val="22"/>
          <w:lang w:val="en-US" w:eastAsia="zh-CN"/>
        </w:rPr>
        <w:t>芜湖新兴</w:t>
      </w:r>
      <w:r>
        <w:rPr>
          <w:rFonts w:hint="eastAsia" w:ascii="宋体" w:hAnsi="宋体" w:eastAsia="宋体" w:cs="宋体"/>
          <w:color w:val="auto"/>
          <w:sz w:val="24"/>
          <w:szCs w:val="22"/>
          <w:lang w:val="en-US" w:eastAsia="zh-CN"/>
        </w:rPr>
        <w:t>报表</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棒磨产品（精粉、片钢、尾渣）倒运吨位</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轧废氧化皮倒运吨位依据</w:t>
      </w:r>
      <w:r>
        <w:rPr>
          <w:rFonts w:hint="eastAsia" w:ascii="宋体" w:hAnsi="宋体" w:cs="宋体"/>
          <w:color w:val="auto"/>
          <w:sz w:val="24"/>
          <w:szCs w:val="22"/>
          <w:lang w:val="en-US" w:eastAsia="zh-CN"/>
        </w:rPr>
        <w:t>芜湖新兴</w:t>
      </w:r>
      <w:r>
        <w:rPr>
          <w:rFonts w:hint="eastAsia" w:ascii="宋体" w:hAnsi="宋体" w:eastAsia="宋体" w:cs="宋体"/>
          <w:color w:val="auto"/>
          <w:sz w:val="24"/>
          <w:szCs w:val="22"/>
          <w:lang w:val="en-US" w:eastAsia="zh-CN"/>
        </w:rPr>
        <w:t>计量日报过磅数据。</w:t>
      </w:r>
    </w:p>
    <w:p>
      <w:pPr>
        <w:numPr>
          <w:ilvl w:val="0"/>
          <w:numId w:val="0"/>
        </w:num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2、报价表中倒运量、钢产量为参考量，结算费用以实际发生量为准。</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19</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2"/>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2"/>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2"/>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2"/>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2"/>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11EB7D50"/>
    <w:multiLevelType w:val="singleLevel"/>
    <w:tmpl w:val="11EB7D50"/>
    <w:lvl w:ilvl="0" w:tentative="0">
      <w:start w:val="1"/>
      <w:numFmt w:val="decimal"/>
      <w:suff w:val="nothing"/>
      <w:lvlText w:val="%1、"/>
      <w:lvlJc w:val="left"/>
    </w:lvl>
  </w:abstractNum>
  <w:abstractNum w:abstractNumId="9">
    <w:nsid w:val="48E7AE87"/>
    <w:multiLevelType w:val="singleLevel"/>
    <w:tmpl w:val="48E7AE87"/>
    <w:lvl w:ilvl="0" w:tentative="0">
      <w:start w:val="1"/>
      <w:numFmt w:val="decimal"/>
      <w:lvlText w:val="%1."/>
      <w:lvlJc w:val="left"/>
      <w:pPr>
        <w:ind w:left="425" w:hanging="425"/>
      </w:pPr>
      <w:rPr>
        <w:rFonts w:hint="default"/>
      </w:rPr>
    </w:lvl>
  </w:abstractNum>
  <w:abstractNum w:abstractNumId="10">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1">
    <w:nsid w:val="6CA26F41"/>
    <w:multiLevelType w:val="singleLevel"/>
    <w:tmpl w:val="6CA26F41"/>
    <w:lvl w:ilvl="0" w:tentative="0">
      <w:start w:val="1"/>
      <w:numFmt w:val="decimal"/>
      <w:suff w:val="nothing"/>
      <w:lvlText w:val="%1、"/>
      <w:lvlJc w:val="left"/>
    </w:lvl>
  </w:abstractNum>
  <w:num w:numId="1">
    <w:abstractNumId w:val="8"/>
  </w:num>
  <w:num w:numId="2">
    <w:abstractNumId w:val="4"/>
    <w:lvlOverride w:ilvl="0">
      <w:startOverride w:val="1"/>
    </w:lvlOverride>
  </w:num>
  <w:num w:numId="3">
    <w:abstractNumId w:val="7"/>
    <w:lvlOverride w:ilvl="0">
      <w:startOverride w:val="1"/>
    </w:lvlOverride>
  </w:num>
  <w:num w:numId="4">
    <w:abstractNumId w:val="6"/>
    <w:lvlOverride w:ilvl="0">
      <w:startOverride w:val="1"/>
    </w:lvlOverride>
  </w:num>
  <w:num w:numId="5">
    <w:abstractNumId w:val="5"/>
  </w:num>
  <w:num w:numId="6">
    <w:abstractNumId w:val="2"/>
  </w:num>
  <w:num w:numId="7">
    <w:abstractNumId w:val="1"/>
  </w:num>
  <w:num w:numId="8">
    <w:abstractNumId w:val="10"/>
  </w:num>
  <w:num w:numId="9">
    <w:abstractNumId w:val="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52B2857"/>
    <w:rsid w:val="16AA6B17"/>
    <w:rsid w:val="1C1D6140"/>
    <w:rsid w:val="1C28711D"/>
    <w:rsid w:val="1F415A0F"/>
    <w:rsid w:val="1FC61767"/>
    <w:rsid w:val="234F5E22"/>
    <w:rsid w:val="23F27268"/>
    <w:rsid w:val="252D19D6"/>
    <w:rsid w:val="25A87FB8"/>
    <w:rsid w:val="25F13BFC"/>
    <w:rsid w:val="2D230D73"/>
    <w:rsid w:val="2DFD089F"/>
    <w:rsid w:val="2E34761D"/>
    <w:rsid w:val="30033579"/>
    <w:rsid w:val="323F2693"/>
    <w:rsid w:val="34FF5DC8"/>
    <w:rsid w:val="390D4485"/>
    <w:rsid w:val="3A4B4F63"/>
    <w:rsid w:val="3C09736A"/>
    <w:rsid w:val="3F114200"/>
    <w:rsid w:val="41417945"/>
    <w:rsid w:val="41DB42F4"/>
    <w:rsid w:val="454E4D64"/>
    <w:rsid w:val="46F31726"/>
    <w:rsid w:val="4C62699D"/>
    <w:rsid w:val="513C3EF8"/>
    <w:rsid w:val="53D27EE3"/>
    <w:rsid w:val="556B3A6A"/>
    <w:rsid w:val="584B20E6"/>
    <w:rsid w:val="589B3C10"/>
    <w:rsid w:val="5B2D6E0C"/>
    <w:rsid w:val="5DA113C7"/>
    <w:rsid w:val="5DA500D7"/>
    <w:rsid w:val="603E0EA5"/>
    <w:rsid w:val="607D1710"/>
    <w:rsid w:val="62CA5CF7"/>
    <w:rsid w:val="6D663618"/>
    <w:rsid w:val="71CE0F1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2021-04-19T01:53:19Z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