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落槽砖系列</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6</w:t>
      </w:r>
      <w:r>
        <w:rPr>
          <w:rFonts w:hint="eastAsia"/>
          <w:color w:val="000000"/>
          <w:sz w:val="24"/>
          <w:szCs w:val="24"/>
        </w:rPr>
        <w:t>月</w:t>
      </w:r>
      <w:r>
        <w:rPr>
          <w:rFonts w:hint="eastAsia"/>
          <w:color w:val="000000"/>
          <w:sz w:val="24"/>
          <w:szCs w:val="24"/>
          <w:u w:val="single"/>
          <w:lang w:val="en-US" w:eastAsia="zh-CN"/>
        </w:rPr>
        <w:t>7</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color w:val="000000"/>
          <w:sz w:val="24"/>
          <w:szCs w:val="24"/>
          <w:u w:val="single"/>
          <w:lang w:val="en-US" w:eastAsia="zh-CN"/>
        </w:rPr>
        <w:t>ZZCY-2022-06-01-026</w:t>
      </w:r>
    </w:p>
    <w:p>
      <w:pPr>
        <w:jc w:val="left"/>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落槽砖系列</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spacing w:line="300" w:lineRule="auto"/>
        <w:ind w:firstLine="600"/>
        <w:rPr>
          <w:rFonts w:hint="default" w:ascii="宋体" w:hAnsi="宋体" w:cs="Times New Roman"/>
          <w:kern w:val="2"/>
          <w:sz w:val="24"/>
          <w:szCs w:val="24"/>
          <w:highlight w:val="none"/>
          <w:lang w:val="en-US" w:eastAsia="zh-CN" w:bidi="ar-SA"/>
        </w:rPr>
      </w:pPr>
      <w:r>
        <w:rPr>
          <w:rFonts w:hint="eastAsia" w:ascii="宋体" w:hAnsi="宋体"/>
          <w:bCs/>
          <w:sz w:val="24"/>
          <w:szCs w:val="24"/>
          <w:lang w:val="en-US" w:eastAsia="zh-CN"/>
        </w:rPr>
        <w:t>报名截止时间为</w:t>
      </w:r>
      <w:r>
        <w:rPr>
          <w:rFonts w:hint="eastAsia" w:ascii="宋体" w:hAnsi="宋体"/>
          <w:bCs/>
          <w:color w:val="FF0000"/>
          <w:sz w:val="24"/>
          <w:szCs w:val="24"/>
          <w:lang w:val="en-US" w:eastAsia="zh-CN"/>
        </w:rPr>
        <w:t>2022年6月14日16：00，</w:t>
      </w:r>
      <w:r>
        <w:rPr>
          <w:rFonts w:hint="eastAsia" w:ascii="宋体" w:hAnsi="宋体"/>
          <w:bCs/>
          <w:sz w:val="24"/>
          <w:szCs w:val="24"/>
          <w:lang w:val="en-US" w:eastAsia="zh-CN"/>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6</w:t>
      </w:r>
      <w:r>
        <w:rPr>
          <w:rFonts w:hint="eastAsia" w:ascii="宋体" w:hAnsi="宋体"/>
          <w:color w:val="FF0000"/>
          <w:sz w:val="24"/>
          <w:szCs w:val="24"/>
        </w:rPr>
        <w:t>月</w:t>
      </w:r>
      <w:r>
        <w:rPr>
          <w:rFonts w:hint="eastAsia" w:ascii="宋体" w:hAnsi="宋体"/>
          <w:color w:val="FF0000"/>
          <w:sz w:val="24"/>
          <w:szCs w:val="24"/>
          <w:lang w:val="en-US" w:eastAsia="zh-CN"/>
        </w:rPr>
        <w:t>16</w:t>
      </w:r>
      <w:r>
        <w:rPr>
          <w:rFonts w:ascii="宋体" w:hAnsi="宋体"/>
          <w:bCs/>
          <w:color w:val="FF0000"/>
          <w:sz w:val="24"/>
          <w:szCs w:val="24"/>
        </w:rPr>
        <w:t>日</w:t>
      </w:r>
      <w:r>
        <w:rPr>
          <w:rFonts w:hint="eastAsia"/>
          <w:color w:val="FF0000"/>
          <w:sz w:val="24"/>
          <w:szCs w:val="24"/>
          <w:shd w:val="clear" w:color="auto" w:fill="FFFFFF"/>
          <w:lang w:val="en-US" w:eastAsia="zh-CN"/>
        </w:rPr>
        <w:t>9</w:t>
      </w:r>
      <w:r>
        <w:rPr>
          <w:rFonts w:hint="eastAsia"/>
          <w:color w:val="FF0000"/>
          <w:sz w:val="24"/>
          <w:szCs w:val="24"/>
          <w:shd w:val="clear" w:color="auto" w:fill="FFFFFF"/>
        </w:rPr>
        <w:t>:</w:t>
      </w:r>
      <w:r>
        <w:rPr>
          <w:rFonts w:hint="eastAsia"/>
          <w:color w:val="FF0000"/>
          <w:sz w:val="24"/>
          <w:szCs w:val="24"/>
          <w:shd w:val="clear" w:color="auto" w:fill="FFFFFF"/>
          <w:lang w:val="en-US" w:eastAsia="zh-CN"/>
        </w:rPr>
        <w:t>3</w:t>
      </w:r>
      <w:r>
        <w:rPr>
          <w:rFonts w:hint="eastAsia"/>
          <w:color w:val="FF0000"/>
          <w:sz w:val="24"/>
          <w:szCs w:val="24"/>
          <w:shd w:val="clear" w:color="auto" w:fill="FFFFFF"/>
        </w:rPr>
        <w:t>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color w:val="0000FF"/>
          <w:sz w:val="24"/>
          <w:szCs w:val="24"/>
          <w:u w:val="single"/>
          <w:lang w:eastAsia="zh-CN"/>
        </w:rPr>
        <w:t>（本项目接受分标段收取保证金：</w:t>
      </w:r>
      <w:r>
        <w:rPr>
          <w:rFonts w:hint="eastAsia" w:ascii="宋体" w:hAnsi="宋体"/>
          <w:b/>
          <w:bCs w:val="0"/>
          <w:color w:val="0000FF"/>
          <w:sz w:val="24"/>
          <w:szCs w:val="24"/>
          <w:u w:val="single"/>
          <w:lang w:val="en-US" w:eastAsia="zh-CN"/>
        </w:rPr>
        <w:t>落槽砖DN100-350</w:t>
      </w:r>
      <w:r>
        <w:rPr>
          <w:rFonts w:hint="eastAsia" w:ascii="宋体" w:hAnsi="宋体"/>
          <w:bCs/>
          <w:color w:val="0000FF"/>
          <w:sz w:val="24"/>
          <w:szCs w:val="24"/>
          <w:u w:val="single"/>
          <w:lang w:eastAsia="zh-CN"/>
        </w:rPr>
        <w:t>标段取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
          <w:bCs w:val="0"/>
          <w:color w:val="0000FF"/>
          <w:sz w:val="24"/>
          <w:szCs w:val="24"/>
          <w:u w:val="single"/>
          <w:lang w:val="en-US" w:eastAsia="zh-CN"/>
        </w:rPr>
        <w:t>落槽砖DN400-700</w:t>
      </w:r>
      <w:r>
        <w:rPr>
          <w:rFonts w:hint="eastAsia" w:ascii="宋体" w:hAnsi="宋体"/>
          <w:bCs/>
          <w:color w:val="0000FF"/>
          <w:sz w:val="24"/>
          <w:szCs w:val="24"/>
          <w:u w:val="single"/>
          <w:lang w:eastAsia="zh-CN"/>
        </w:rPr>
        <w:t>标段取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肆仟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
          <w:bCs w:val="0"/>
          <w:color w:val="0000FF"/>
          <w:sz w:val="24"/>
          <w:szCs w:val="24"/>
          <w:u w:val="single"/>
          <w:lang w:val="en-US" w:eastAsia="zh-CN"/>
        </w:rPr>
        <w:t>落槽砖DN800-1200</w:t>
      </w:r>
      <w:r>
        <w:rPr>
          <w:rFonts w:hint="eastAsia" w:ascii="宋体" w:hAnsi="宋体"/>
          <w:bCs/>
          <w:color w:val="0000FF"/>
          <w:sz w:val="24"/>
          <w:szCs w:val="24"/>
          <w:u w:val="single"/>
          <w:lang w:eastAsia="zh-CN"/>
        </w:rPr>
        <w:t>标段取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
          <w:bCs w:val="0"/>
          <w:color w:val="0000FF"/>
          <w:sz w:val="24"/>
          <w:szCs w:val="24"/>
          <w:u w:val="single"/>
          <w:lang w:val="en-US" w:eastAsia="zh-CN"/>
        </w:rPr>
        <w:t>落槽砖DN1200-2600</w:t>
      </w:r>
      <w:r>
        <w:rPr>
          <w:rFonts w:hint="eastAsia" w:ascii="宋体" w:hAnsi="宋体"/>
          <w:bCs/>
          <w:color w:val="0000FF"/>
          <w:sz w:val="24"/>
          <w:szCs w:val="24"/>
          <w:u w:val="single"/>
          <w:lang w:eastAsia="zh-CN"/>
        </w:rPr>
        <w:t>标段取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壹仟</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
          <w:bCs w:val="0"/>
          <w:color w:val="0000FF"/>
          <w:sz w:val="24"/>
          <w:szCs w:val="24"/>
          <w:u w:val="single"/>
          <w:lang w:val="en-US" w:eastAsia="zh-CN"/>
        </w:rPr>
        <w:t>石墨耙子</w:t>
      </w:r>
      <w:r>
        <w:rPr>
          <w:rFonts w:hint="eastAsia" w:ascii="宋体" w:hAnsi="宋体"/>
          <w:bCs/>
          <w:color w:val="0000FF"/>
          <w:sz w:val="24"/>
          <w:szCs w:val="24"/>
          <w:u w:val="single"/>
          <w:lang w:val="en-US" w:eastAsia="zh-CN"/>
        </w:rPr>
        <w:t>标段</w:t>
      </w:r>
      <w:r>
        <w:rPr>
          <w:rFonts w:hint="eastAsia" w:ascii="宋体" w:hAnsi="宋体"/>
          <w:bCs/>
          <w:color w:val="0000FF"/>
          <w:sz w:val="24"/>
          <w:szCs w:val="24"/>
          <w:u w:val="single"/>
          <w:lang w:eastAsia="zh-CN"/>
        </w:rPr>
        <w:t>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伍佰</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
          <w:bCs w:val="0"/>
          <w:color w:val="0000FF"/>
          <w:sz w:val="24"/>
          <w:szCs w:val="24"/>
          <w:u w:val="single"/>
          <w:lang w:val="en-US" w:eastAsia="zh-CN"/>
        </w:rPr>
        <w:t>石墨包嘴</w:t>
      </w:r>
      <w:r>
        <w:rPr>
          <w:rFonts w:hint="eastAsia" w:ascii="宋体" w:hAnsi="宋体"/>
          <w:bCs/>
          <w:color w:val="0000FF"/>
          <w:sz w:val="24"/>
          <w:szCs w:val="24"/>
          <w:u w:val="single"/>
          <w:lang w:eastAsia="zh-CN"/>
        </w:rPr>
        <w:t>标段取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壹仟伍佰</w:t>
      </w:r>
      <w:r>
        <w:rPr>
          <w:rFonts w:hint="eastAsia" w:ascii="宋体" w:hAnsi="宋体"/>
          <w:b/>
          <w:bCs w:val="0"/>
          <w:color w:val="FF0000"/>
          <w:sz w:val="24"/>
          <w:szCs w:val="24"/>
          <w:highlight w:val="none"/>
          <w:u w:val="single"/>
        </w:rPr>
        <w:t>元整</w:t>
      </w:r>
      <w:r>
        <w:rPr>
          <w:rFonts w:hint="eastAsia" w:ascii="宋体" w:hAnsi="宋体"/>
          <w:b/>
          <w:bCs w:val="0"/>
          <w:color w:val="FF0000"/>
          <w:sz w:val="24"/>
          <w:szCs w:val="24"/>
          <w:highlight w:val="none"/>
          <w:u w:val="single"/>
          <w:lang w:eastAsia="zh-CN"/>
        </w:rPr>
        <w:t>）。</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6</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14</w:t>
      </w:r>
      <w:r>
        <w:rPr>
          <w:rFonts w:hint="eastAsia" w:ascii="宋体" w:hAnsi="宋体"/>
          <w:bCs/>
          <w:color w:val="0000FF"/>
          <w:sz w:val="24"/>
          <w:szCs w:val="24"/>
          <w:highlight w:val="none"/>
          <w:u w:val="none"/>
        </w:rPr>
        <w:t>日</w:t>
      </w:r>
      <w:r>
        <w:rPr>
          <w:rFonts w:hint="eastAsia" w:ascii="宋体" w:hAnsi="宋体"/>
          <w:bCs/>
          <w:color w:val="0000FF"/>
          <w:sz w:val="24"/>
          <w:szCs w:val="24"/>
          <w:highlight w:val="none"/>
          <w:u w:val="none"/>
          <w:lang w:val="en-US" w:eastAsia="zh-CN"/>
        </w:rPr>
        <w:t>16</w:t>
      </w:r>
      <w:r>
        <w:rPr>
          <w:rFonts w:hint="eastAsia" w:ascii="宋体" w:hAnsi="宋体"/>
          <w:bCs/>
          <w:color w:val="0000FF"/>
          <w:sz w:val="24"/>
          <w:szCs w:val="24"/>
          <w:highlight w:val="none"/>
          <w:u w:val="none"/>
        </w:rPr>
        <w:t>：00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2"/>
        </w:numPr>
        <w:tabs>
          <w:tab w:val="left" w:pos="570"/>
        </w:tabs>
        <w:spacing w:line="300" w:lineRule="auto"/>
        <w:rPr>
          <w:rFonts w:ascii="宋体" w:hAnsi="宋体"/>
          <w:b/>
          <w:sz w:val="24"/>
          <w:szCs w:val="24"/>
        </w:rPr>
      </w:pPr>
      <w:r>
        <w:rPr>
          <w:rFonts w:hint="eastAsia" w:ascii="宋体" w:hAnsi="宋体"/>
          <w:b/>
          <w:sz w:val="24"/>
          <w:szCs w:val="24"/>
        </w:rPr>
        <w:t>投标人要求</w:t>
      </w:r>
    </w:p>
    <w:p>
      <w:pPr>
        <w:numPr>
          <w:ilvl w:val="0"/>
          <w:numId w:val="3"/>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4"/>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4"/>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5"/>
        </w:numPr>
        <w:spacing w:line="300" w:lineRule="auto"/>
        <w:rPr>
          <w:rFonts w:ascii="宋体" w:hAnsi="宋体"/>
          <w:sz w:val="24"/>
          <w:szCs w:val="24"/>
        </w:rPr>
      </w:pPr>
      <w:r>
        <w:rPr>
          <w:rFonts w:hint="eastAsia" w:ascii="宋体" w:hAnsi="宋体"/>
          <w:sz w:val="24"/>
          <w:szCs w:val="24"/>
        </w:rPr>
        <w:t>商务文件：</w:t>
      </w:r>
    </w:p>
    <w:p>
      <w:pPr>
        <w:numPr>
          <w:ilvl w:val="0"/>
          <w:numId w:val="6"/>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6"/>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6"/>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6"/>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5"/>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5"/>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7"/>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7"/>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7"/>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7"/>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7"/>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7"/>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auto"/>
          <w:sz w:val="24"/>
          <w:szCs w:val="24"/>
        </w:rPr>
      </w:pPr>
      <w:r>
        <w:rPr>
          <w:rFonts w:hint="eastAsia" w:ascii="宋体" w:hAnsi="宋体"/>
          <w:bCs/>
          <w:sz w:val="24"/>
          <w:szCs w:val="24"/>
          <w:lang w:val="en-US" w:eastAsia="zh-CN"/>
        </w:rPr>
        <w:t>1</w:t>
      </w:r>
      <w:r>
        <w:rPr>
          <w:rFonts w:hint="eastAsia" w:ascii="宋体" w:hAnsi="宋体"/>
          <w:bCs/>
          <w:color w:val="auto"/>
          <w:sz w:val="24"/>
          <w:szCs w:val="24"/>
          <w:lang w:val="en-US" w:eastAsia="zh-CN"/>
        </w:rPr>
        <w:t>2.</w:t>
      </w:r>
      <w:r>
        <w:rPr>
          <w:rFonts w:hint="eastAsia" w:ascii="宋体" w:hAnsi="宋体" w:cs="宋体"/>
          <w:color w:val="auto"/>
          <w:sz w:val="24"/>
          <w:szCs w:val="24"/>
          <w:lang w:val="en-US" w:eastAsia="zh-CN"/>
        </w:rPr>
        <w:t>被</w:t>
      </w:r>
      <w:r>
        <w:rPr>
          <w:rFonts w:ascii="宋体" w:hAnsi="宋体" w:eastAsia="宋体" w:cs="宋体"/>
          <w:color w:val="auto"/>
          <w:sz w:val="24"/>
          <w:szCs w:val="24"/>
        </w:rPr>
        <w:t>国家公共信用机构(</w:t>
      </w:r>
      <w:r>
        <w:rPr>
          <w:rFonts w:ascii="宋体" w:hAnsi="宋体" w:eastAsia="宋体" w:cs="宋体"/>
          <w:strike w:val="0"/>
          <w:dstrike w:val="0"/>
          <w:color w:val="auto"/>
          <w:sz w:val="24"/>
          <w:szCs w:val="24"/>
        </w:rPr>
        <w:t>国家公共信用信息中心</w:t>
      </w:r>
      <w:r>
        <w:rPr>
          <w:rFonts w:hint="eastAsia" w:ascii="宋体" w:hAnsi="宋体" w:cs="宋体"/>
          <w:strike w:val="0"/>
          <w:dstrike w:val="0"/>
          <w:color w:val="auto"/>
          <w:sz w:val="24"/>
          <w:szCs w:val="24"/>
          <w:lang w:eastAsia="zh-CN"/>
        </w:rPr>
        <w:t>、</w:t>
      </w:r>
      <w:r>
        <w:rPr>
          <w:rFonts w:hint="eastAsia" w:ascii="宋体" w:hAnsi="宋体" w:cs="宋体"/>
          <w:color w:val="auto"/>
          <w:sz w:val="24"/>
          <w:szCs w:val="24"/>
          <w:lang w:val="en-US" w:eastAsia="zh-CN"/>
        </w:rPr>
        <w:t>信用中国</w:t>
      </w:r>
      <w:r>
        <w:rPr>
          <w:rFonts w:ascii="宋体" w:hAnsi="宋体" w:eastAsia="宋体" w:cs="宋体"/>
          <w:color w:val="auto"/>
          <w:sz w:val="24"/>
          <w:szCs w:val="24"/>
        </w:rPr>
        <w:t xml:space="preserve">）列入失信 </w:t>
      </w:r>
      <w:r>
        <w:rPr>
          <w:rFonts w:hint="eastAsia" w:ascii="宋体" w:hAnsi="宋体" w:cs="宋体"/>
          <w:color w:val="auto"/>
          <w:sz w:val="24"/>
          <w:szCs w:val="24"/>
          <w:lang w:val="en-US" w:eastAsia="zh-CN"/>
        </w:rPr>
        <w:t xml:space="preserve">    </w:t>
      </w:r>
    </w:p>
    <w:p>
      <w:pPr>
        <w:pStyle w:val="2"/>
        <w:ind w:firstLine="720" w:firstLineChars="300"/>
        <w:rPr>
          <w:rFonts w:hint="default"/>
          <w:color w:val="auto"/>
          <w:lang w:val="en-US" w:eastAsia="zh-CN"/>
        </w:rPr>
      </w:pPr>
      <w:r>
        <w:rPr>
          <w:rFonts w:ascii="宋体" w:hAnsi="宋体" w:eastAsia="宋体" w:cs="宋体"/>
          <w:color w:val="auto"/>
          <w:sz w:val="24"/>
          <w:szCs w:val="24"/>
        </w:rPr>
        <w:t>名单的企业或个人实际控制的企业</w:t>
      </w:r>
      <w:r>
        <w:rPr>
          <w:rFonts w:hint="eastAsia" w:ascii="宋体" w:hAnsi="宋体" w:cs="宋体"/>
          <w:bCs/>
          <w:color w:val="auto"/>
          <w:sz w:val="24"/>
          <w:szCs w:val="24"/>
          <w:lang w:val="en-US" w:eastAsia="zh-CN"/>
        </w:rPr>
        <w:t>。</w:t>
      </w:r>
    </w:p>
    <w:p>
      <w:pPr>
        <w:spacing w:line="360" w:lineRule="auto"/>
        <w:ind w:left="480"/>
        <w:rPr>
          <w:rFonts w:hint="eastAsia"/>
          <w:sz w:val="24"/>
          <w:szCs w:val="22"/>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合金辅料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合金辅料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b w:val="0"/>
          <w:bCs w:val="0"/>
          <w:sz w:val="24"/>
          <w:szCs w:val="24"/>
        </w:rPr>
      </w:pPr>
      <w:r>
        <w:rPr>
          <w:rFonts w:hint="eastAsia" w:ascii="宋体" w:hAnsi="宋体"/>
          <w:b/>
          <w:bCs/>
          <w:sz w:val="24"/>
          <w:szCs w:val="24"/>
        </w:rPr>
        <w:t>价格：</w:t>
      </w:r>
      <w:r>
        <w:rPr>
          <w:rFonts w:hint="eastAsia" w:ascii="宋体" w:hAnsi="宋体"/>
          <w:b w:val="0"/>
          <w:bCs w:val="0"/>
          <w:sz w:val="24"/>
          <w:szCs w:val="24"/>
        </w:rPr>
        <w:t>满分60分。满足招标文件要求的前提下，取所有投标方有效报价的最低价作为评标基准价，其得分为60分，其他得分为：价格分=60*评标基准价÷有效报价。</w:t>
      </w:r>
    </w:p>
    <w:p>
      <w:pPr>
        <w:ind w:firstLine="482" w:firstLineChars="200"/>
        <w:rPr>
          <w:rFonts w:hint="eastAsia" w:ascii="宋体" w:hAnsi="宋体"/>
          <w:b w:val="0"/>
          <w:bCs w:val="0"/>
          <w:sz w:val="24"/>
          <w:szCs w:val="24"/>
        </w:rPr>
      </w:pPr>
      <w:r>
        <w:rPr>
          <w:rFonts w:hint="eastAsia" w:ascii="宋体" w:hAnsi="宋体"/>
          <w:b/>
          <w:bCs/>
          <w:sz w:val="24"/>
          <w:szCs w:val="24"/>
        </w:rPr>
        <w:t>质量：</w:t>
      </w:r>
      <w:r>
        <w:rPr>
          <w:rFonts w:hint="eastAsia" w:ascii="宋体" w:hAnsi="宋体"/>
          <w:b w:val="0"/>
          <w:bCs w:val="0"/>
          <w:sz w:val="24"/>
          <w:szCs w:val="24"/>
        </w:rPr>
        <w:t>满分20分。技术方案及质量没有响应招标文件的投标将被否决。质量响应招标文件14分（技术指标响应）；第二/第三方相关产品检测结果2分；质量体系认证2分；相关专利2分。</w:t>
      </w:r>
    </w:p>
    <w:p>
      <w:pPr>
        <w:ind w:firstLine="482" w:firstLineChars="200"/>
        <w:rPr>
          <w:rFonts w:hint="eastAsia" w:ascii="宋体" w:hAnsi="宋体"/>
          <w:b w:val="0"/>
          <w:bCs w:val="0"/>
          <w:sz w:val="24"/>
          <w:szCs w:val="24"/>
        </w:rPr>
      </w:pPr>
      <w:r>
        <w:rPr>
          <w:rFonts w:hint="eastAsia" w:ascii="宋体" w:hAnsi="宋体"/>
          <w:b/>
          <w:bCs/>
          <w:sz w:val="24"/>
          <w:szCs w:val="24"/>
        </w:rPr>
        <w:t>资质、装备及工艺技术水平、业绩状况：</w:t>
      </w:r>
      <w:r>
        <w:rPr>
          <w:rFonts w:hint="eastAsia" w:ascii="宋体" w:hAnsi="宋体"/>
          <w:b w:val="0"/>
          <w:bCs w:val="0"/>
          <w:sz w:val="24"/>
          <w:szCs w:val="24"/>
        </w:rPr>
        <w:t>满分10分。资质3（具备相应的加工生产能力3分，仅有销售能力1分。）无相应经营范围0分）；公司规模及人员构成2分（参照企查查等资信平台参保人数）；装备及能力、水平等2分（参照供应商资信调查表）；相关业绩3分(类似业绩每项1分，最高 3分)。</w:t>
      </w:r>
    </w:p>
    <w:p>
      <w:pPr>
        <w:ind w:firstLine="482" w:firstLineChars="200"/>
        <w:rPr>
          <w:rFonts w:hint="eastAsia" w:ascii="宋体" w:hAnsi="宋体"/>
          <w:b w:val="0"/>
          <w:bCs w:val="0"/>
          <w:sz w:val="24"/>
          <w:szCs w:val="24"/>
        </w:rPr>
      </w:pPr>
      <w:r>
        <w:rPr>
          <w:rFonts w:hint="eastAsia" w:ascii="宋体" w:hAnsi="宋体"/>
          <w:b/>
          <w:bCs/>
          <w:sz w:val="24"/>
          <w:szCs w:val="24"/>
        </w:rPr>
        <w:t>服务、工期及资金状况：</w:t>
      </w:r>
      <w:r>
        <w:rPr>
          <w:rFonts w:hint="eastAsia" w:ascii="宋体" w:hAnsi="宋体"/>
          <w:b w:val="0"/>
          <w:bCs w:val="0"/>
          <w:sz w:val="24"/>
          <w:szCs w:val="24"/>
        </w:rPr>
        <w:t>满分10分。备货周期3 分；售后服务保障措施2分；资金状况2分（参照实缴注册资金）；付款方式3分。</w:t>
      </w:r>
    </w:p>
    <w:p>
      <w:pPr>
        <w:numPr>
          <w:ilvl w:val="0"/>
          <w:numId w:val="8"/>
        </w:numPr>
        <w:rPr>
          <w:b/>
          <w:sz w:val="24"/>
          <w:szCs w:val="24"/>
        </w:rPr>
      </w:pPr>
      <w:r>
        <w:rPr>
          <w:rFonts w:hint="eastAsia"/>
          <w:b/>
          <w:sz w:val="24"/>
          <w:szCs w:val="24"/>
        </w:rPr>
        <w:t>其他要求</w:t>
      </w:r>
    </w:p>
    <w:p>
      <w:pPr>
        <w:numPr>
          <w:ilvl w:val="0"/>
          <w:numId w:val="9"/>
        </w:numPr>
        <w:spacing w:line="360" w:lineRule="auto"/>
        <w:ind w:left="63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满足技术附件要求及业主单位使用要求。</w:t>
      </w:r>
    </w:p>
    <w:p>
      <w:pPr>
        <w:numPr>
          <w:ilvl w:val="0"/>
          <w:numId w:val="9"/>
        </w:numPr>
        <w:spacing w:line="360" w:lineRule="auto"/>
        <w:ind w:left="63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此次招标招6个月的供货量，分六个标段，供货明细表如下：</w:t>
      </w:r>
    </w:p>
    <w:tbl>
      <w:tblPr>
        <w:tblStyle w:val="11"/>
        <w:tblpPr w:leftFromText="180" w:rightFromText="180" w:vertAnchor="text" w:horzAnchor="page" w:tblpX="1795" w:tblpY="286"/>
        <w:tblOverlap w:val="never"/>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3"/>
        <w:gridCol w:w="2444"/>
        <w:gridCol w:w="2444"/>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3" w:type="dxa"/>
            <w:noWrap w:val="0"/>
            <w:vAlign w:val="center"/>
          </w:tcPr>
          <w:p>
            <w:pPr>
              <w:spacing w:line="360" w:lineRule="auto"/>
              <w:jc w:val="center"/>
              <w:rPr>
                <w:rFonts w:hint="default" w:ascii="宋体" w:hAnsi="宋体" w:eastAsia="宋体" w:cs="Times New Roman"/>
                <w:b/>
                <w:color w:val="FF0000"/>
                <w:kern w:val="2"/>
                <w:sz w:val="22"/>
                <w:szCs w:val="22"/>
                <w:vertAlign w:val="baseline"/>
                <w:lang w:val="en-US" w:eastAsia="zh-CN" w:bidi="ar-SA"/>
              </w:rPr>
            </w:pPr>
            <w:r>
              <w:rPr>
                <w:rFonts w:hint="eastAsia" w:ascii="宋体" w:hAnsi="宋体" w:cs="Times New Roman"/>
                <w:b/>
                <w:color w:val="FF0000"/>
                <w:kern w:val="2"/>
                <w:sz w:val="22"/>
                <w:szCs w:val="22"/>
                <w:vertAlign w:val="baseline"/>
                <w:lang w:val="en-US" w:eastAsia="zh-CN" w:bidi="ar-SA"/>
              </w:rPr>
              <w:t>标段</w:t>
            </w:r>
          </w:p>
        </w:tc>
        <w:tc>
          <w:tcPr>
            <w:tcW w:w="2444"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b/>
                <w:color w:val="FF0000"/>
                <w:sz w:val="22"/>
                <w:szCs w:val="22"/>
                <w:vertAlign w:val="baseline"/>
                <w:lang w:val="en-US" w:eastAsia="zh-CN"/>
              </w:rPr>
              <w:t>物资名称</w:t>
            </w:r>
          </w:p>
        </w:tc>
        <w:tc>
          <w:tcPr>
            <w:tcW w:w="2444" w:type="dxa"/>
            <w:noWrap w:val="0"/>
            <w:vAlign w:val="center"/>
          </w:tcPr>
          <w:p>
            <w:pPr>
              <w:spacing w:line="360" w:lineRule="auto"/>
              <w:jc w:val="center"/>
              <w:rPr>
                <w:rFonts w:hint="eastAsia" w:ascii="宋体" w:hAnsi="宋体" w:eastAsia="宋体" w:cs="Times New Roman"/>
                <w:b/>
                <w:color w:val="FF0000"/>
                <w:kern w:val="2"/>
                <w:sz w:val="28"/>
                <w:szCs w:val="28"/>
                <w:vertAlign w:val="baseline"/>
                <w:lang w:val="en-US" w:eastAsia="zh-CN" w:bidi="ar-SA"/>
              </w:rPr>
            </w:pPr>
            <w:r>
              <w:rPr>
                <w:rFonts w:hint="eastAsia" w:ascii="宋体" w:hAnsi="宋体"/>
                <w:b/>
                <w:color w:val="FF0000"/>
                <w:sz w:val="22"/>
                <w:szCs w:val="22"/>
                <w:vertAlign w:val="baseline"/>
                <w:lang w:val="en-US" w:eastAsia="zh-CN"/>
              </w:rPr>
              <w:t>数量</w:t>
            </w:r>
          </w:p>
        </w:tc>
        <w:tc>
          <w:tcPr>
            <w:tcW w:w="2444" w:type="dxa"/>
            <w:noWrap w:val="0"/>
            <w:vAlign w:val="center"/>
          </w:tcPr>
          <w:p>
            <w:pPr>
              <w:spacing w:line="360" w:lineRule="auto"/>
              <w:jc w:val="center"/>
              <w:rPr>
                <w:rFonts w:hint="eastAsia" w:ascii="宋体" w:hAnsi="宋体"/>
                <w:b/>
                <w:color w:val="FF0000"/>
                <w:sz w:val="28"/>
                <w:szCs w:val="28"/>
                <w:vertAlign w:val="baseline"/>
                <w:lang w:val="en-US" w:eastAsia="zh-CN"/>
              </w:rPr>
            </w:pPr>
            <w:r>
              <w:rPr>
                <w:rFonts w:hint="eastAsia" w:ascii="宋体" w:hAnsi="宋体"/>
                <w:b/>
                <w:color w:val="FF000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43" w:type="dxa"/>
            <w:noWrap w:val="0"/>
            <w:vAlign w:val="center"/>
          </w:tcPr>
          <w:p>
            <w:pPr>
              <w:spacing w:line="360" w:lineRule="auto"/>
              <w:jc w:val="center"/>
              <w:rPr>
                <w:rFonts w:hint="default" w:ascii="宋体" w:hAnsi="宋体" w:eastAsia="宋体" w:cs="Times New Roman"/>
                <w:b/>
                <w:color w:val="FF0000"/>
                <w:kern w:val="2"/>
                <w:sz w:val="22"/>
                <w:szCs w:val="22"/>
                <w:vertAlign w:val="baseline"/>
                <w:lang w:val="en-US" w:eastAsia="zh-CN" w:bidi="ar-SA"/>
              </w:rPr>
            </w:pPr>
            <w:r>
              <w:rPr>
                <w:rFonts w:hint="eastAsia" w:ascii="宋体" w:hAnsi="宋体" w:cs="Times New Roman"/>
                <w:b/>
                <w:color w:val="FF0000"/>
                <w:kern w:val="2"/>
                <w:sz w:val="22"/>
                <w:szCs w:val="22"/>
                <w:vertAlign w:val="baseline"/>
                <w:lang w:val="en-US" w:eastAsia="zh-CN" w:bidi="ar-SA"/>
              </w:rPr>
              <w:t>标段一</w:t>
            </w:r>
          </w:p>
        </w:tc>
        <w:tc>
          <w:tcPr>
            <w:tcW w:w="2444"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b/>
                <w:color w:val="FF0000"/>
                <w:sz w:val="22"/>
                <w:szCs w:val="22"/>
                <w:vertAlign w:val="baseline"/>
                <w:lang w:val="en-US" w:eastAsia="zh-CN"/>
              </w:rPr>
              <w:t>落槽砖DN100-350</w:t>
            </w:r>
          </w:p>
        </w:tc>
        <w:tc>
          <w:tcPr>
            <w:tcW w:w="2444" w:type="dxa"/>
            <w:noWrap w:val="0"/>
            <w:vAlign w:val="center"/>
          </w:tcPr>
          <w:p>
            <w:pPr>
              <w:spacing w:line="360" w:lineRule="auto"/>
              <w:jc w:val="center"/>
              <w:rPr>
                <w:rFonts w:hint="eastAsia" w:ascii="宋体" w:hAnsi="宋体" w:eastAsia="宋体" w:cs="Times New Roman"/>
                <w:b/>
                <w:color w:val="FF0000"/>
                <w:kern w:val="2"/>
                <w:sz w:val="28"/>
                <w:szCs w:val="28"/>
                <w:vertAlign w:val="baseline"/>
                <w:lang w:val="en-US" w:eastAsia="zh-CN" w:bidi="ar-SA"/>
              </w:rPr>
            </w:pPr>
            <w:r>
              <w:rPr>
                <w:rFonts w:hint="eastAsia" w:ascii="宋体" w:hAnsi="宋体"/>
                <w:b/>
                <w:color w:val="FF0000"/>
                <w:sz w:val="22"/>
                <w:szCs w:val="22"/>
                <w:vertAlign w:val="baseline"/>
                <w:lang w:val="en-US" w:eastAsia="zh-CN"/>
              </w:rPr>
              <w:t>1000套</w:t>
            </w:r>
          </w:p>
        </w:tc>
        <w:tc>
          <w:tcPr>
            <w:tcW w:w="2444" w:type="dxa"/>
            <w:noWrap w:val="0"/>
            <w:vAlign w:val="center"/>
          </w:tcPr>
          <w:p>
            <w:pPr>
              <w:spacing w:line="360" w:lineRule="auto"/>
              <w:jc w:val="center"/>
              <w:rPr>
                <w:rFonts w:hint="default" w:ascii="宋体" w:hAnsi="宋体"/>
                <w:b/>
                <w:color w:val="FF0000"/>
                <w:sz w:val="28"/>
                <w:szCs w:val="28"/>
                <w:vertAlign w:val="baseline"/>
                <w:lang w:val="en-US" w:eastAsia="zh-CN"/>
              </w:rPr>
            </w:pPr>
            <w:r>
              <w:rPr>
                <w:rFonts w:hint="eastAsia" w:ascii="宋体" w:hAnsi="宋体"/>
                <w:b/>
                <w:color w:val="FF0000"/>
                <w:sz w:val="28"/>
                <w:szCs w:val="28"/>
                <w:vertAlign w:val="baseline"/>
                <w:lang w:val="en-US" w:eastAsia="zh-CN"/>
              </w:rPr>
              <w:t>铸管部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3"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cs="Times New Roman"/>
                <w:b/>
                <w:color w:val="FF0000"/>
                <w:kern w:val="2"/>
                <w:sz w:val="22"/>
                <w:szCs w:val="22"/>
                <w:vertAlign w:val="baseline"/>
                <w:lang w:val="en-US" w:eastAsia="zh-CN" w:bidi="ar-SA"/>
              </w:rPr>
              <w:t>标段二</w:t>
            </w:r>
          </w:p>
        </w:tc>
        <w:tc>
          <w:tcPr>
            <w:tcW w:w="2444"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b/>
                <w:color w:val="FF0000"/>
                <w:sz w:val="22"/>
                <w:szCs w:val="22"/>
                <w:vertAlign w:val="baseline"/>
                <w:lang w:val="en-US" w:eastAsia="zh-CN"/>
              </w:rPr>
              <w:t>落槽砖DN400-700</w:t>
            </w:r>
          </w:p>
        </w:tc>
        <w:tc>
          <w:tcPr>
            <w:tcW w:w="2444" w:type="dxa"/>
            <w:noWrap w:val="0"/>
            <w:vAlign w:val="center"/>
          </w:tcPr>
          <w:p>
            <w:pPr>
              <w:spacing w:line="360" w:lineRule="auto"/>
              <w:jc w:val="center"/>
              <w:rPr>
                <w:rFonts w:hint="eastAsia" w:ascii="宋体" w:hAnsi="宋体" w:eastAsia="宋体" w:cs="Times New Roman"/>
                <w:b/>
                <w:color w:val="FF0000"/>
                <w:kern w:val="2"/>
                <w:sz w:val="28"/>
                <w:szCs w:val="28"/>
                <w:vertAlign w:val="baseline"/>
                <w:lang w:val="en-US" w:eastAsia="zh-CN" w:bidi="ar-SA"/>
              </w:rPr>
            </w:pPr>
            <w:r>
              <w:rPr>
                <w:rFonts w:hint="eastAsia" w:ascii="宋体" w:hAnsi="宋体"/>
                <w:b/>
                <w:color w:val="FF0000"/>
                <w:sz w:val="22"/>
                <w:szCs w:val="22"/>
                <w:vertAlign w:val="baseline"/>
                <w:lang w:val="en-US" w:eastAsia="zh-CN"/>
              </w:rPr>
              <w:t>330套</w:t>
            </w:r>
          </w:p>
        </w:tc>
        <w:tc>
          <w:tcPr>
            <w:tcW w:w="2444" w:type="dxa"/>
            <w:noWrap w:val="0"/>
            <w:vAlign w:val="center"/>
          </w:tcPr>
          <w:p>
            <w:pPr>
              <w:spacing w:line="360" w:lineRule="auto"/>
              <w:jc w:val="center"/>
              <w:rPr>
                <w:rFonts w:hint="eastAsia" w:ascii="宋体" w:hAnsi="宋体"/>
                <w:b/>
                <w:color w:val="FF0000"/>
                <w:sz w:val="28"/>
                <w:szCs w:val="28"/>
                <w:vertAlign w:val="baseline"/>
                <w:lang w:eastAsia="zh-CN"/>
              </w:rPr>
            </w:pPr>
            <w:r>
              <w:rPr>
                <w:rFonts w:hint="eastAsia" w:ascii="宋体" w:hAnsi="宋体"/>
                <w:b/>
                <w:color w:val="FF0000"/>
                <w:sz w:val="28"/>
                <w:szCs w:val="28"/>
                <w:vertAlign w:val="baseline"/>
                <w:lang w:val="en-US" w:eastAsia="zh-CN"/>
              </w:rPr>
              <w:t>铸管部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3"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cs="Times New Roman"/>
                <w:b/>
                <w:color w:val="FF0000"/>
                <w:kern w:val="2"/>
                <w:sz w:val="22"/>
                <w:szCs w:val="22"/>
                <w:vertAlign w:val="baseline"/>
                <w:lang w:val="en-US" w:eastAsia="zh-CN" w:bidi="ar-SA"/>
              </w:rPr>
              <w:t>标段三</w:t>
            </w:r>
          </w:p>
        </w:tc>
        <w:tc>
          <w:tcPr>
            <w:tcW w:w="2444"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b/>
                <w:color w:val="FF0000"/>
                <w:sz w:val="22"/>
                <w:szCs w:val="22"/>
                <w:vertAlign w:val="baseline"/>
                <w:lang w:val="en-US" w:eastAsia="zh-CN"/>
              </w:rPr>
              <w:t>落槽砖DN800-1200</w:t>
            </w:r>
          </w:p>
        </w:tc>
        <w:tc>
          <w:tcPr>
            <w:tcW w:w="2444" w:type="dxa"/>
            <w:noWrap w:val="0"/>
            <w:vAlign w:val="center"/>
          </w:tcPr>
          <w:p>
            <w:pPr>
              <w:spacing w:line="360" w:lineRule="auto"/>
              <w:jc w:val="center"/>
              <w:rPr>
                <w:rFonts w:hint="eastAsia" w:ascii="宋体" w:hAnsi="宋体" w:eastAsia="宋体" w:cs="Times New Roman"/>
                <w:b/>
                <w:color w:val="FF0000"/>
                <w:kern w:val="2"/>
                <w:sz w:val="28"/>
                <w:szCs w:val="28"/>
                <w:vertAlign w:val="baseline"/>
                <w:lang w:val="en-US" w:eastAsia="zh-CN" w:bidi="ar-SA"/>
              </w:rPr>
            </w:pPr>
            <w:r>
              <w:rPr>
                <w:rFonts w:hint="eastAsia" w:ascii="宋体" w:hAnsi="宋体"/>
                <w:b/>
                <w:color w:val="FF0000"/>
                <w:sz w:val="22"/>
                <w:szCs w:val="22"/>
                <w:vertAlign w:val="baseline"/>
                <w:lang w:val="en-US" w:eastAsia="zh-CN"/>
              </w:rPr>
              <w:t>180套</w:t>
            </w:r>
          </w:p>
        </w:tc>
        <w:tc>
          <w:tcPr>
            <w:tcW w:w="2444" w:type="dxa"/>
            <w:noWrap w:val="0"/>
            <w:vAlign w:val="center"/>
          </w:tcPr>
          <w:p>
            <w:pPr>
              <w:spacing w:line="360" w:lineRule="auto"/>
              <w:jc w:val="center"/>
              <w:rPr>
                <w:rFonts w:hint="eastAsia" w:ascii="宋体" w:hAnsi="宋体"/>
                <w:b/>
                <w:color w:val="FF0000"/>
                <w:sz w:val="28"/>
                <w:szCs w:val="28"/>
                <w:vertAlign w:val="baseline"/>
                <w:lang w:eastAsia="zh-CN"/>
              </w:rPr>
            </w:pPr>
            <w:r>
              <w:rPr>
                <w:rFonts w:hint="eastAsia" w:ascii="宋体" w:hAnsi="宋体"/>
                <w:b/>
                <w:color w:val="FF0000"/>
                <w:sz w:val="28"/>
                <w:szCs w:val="28"/>
                <w:vertAlign w:val="baseline"/>
                <w:lang w:val="en-US" w:eastAsia="zh-CN"/>
              </w:rPr>
              <w:t>铸管部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3"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cs="Times New Roman"/>
                <w:b/>
                <w:color w:val="FF0000"/>
                <w:kern w:val="2"/>
                <w:sz w:val="22"/>
                <w:szCs w:val="22"/>
                <w:vertAlign w:val="baseline"/>
                <w:lang w:val="en-US" w:eastAsia="zh-CN" w:bidi="ar-SA"/>
              </w:rPr>
              <w:t>标段四</w:t>
            </w:r>
          </w:p>
        </w:tc>
        <w:tc>
          <w:tcPr>
            <w:tcW w:w="2444"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b/>
                <w:color w:val="FF0000"/>
                <w:sz w:val="22"/>
                <w:szCs w:val="22"/>
                <w:vertAlign w:val="baseline"/>
                <w:lang w:val="en-US" w:eastAsia="zh-CN"/>
              </w:rPr>
              <w:t>落槽砖DN1200-2600</w:t>
            </w:r>
          </w:p>
        </w:tc>
        <w:tc>
          <w:tcPr>
            <w:tcW w:w="2444" w:type="dxa"/>
            <w:noWrap w:val="0"/>
            <w:vAlign w:val="center"/>
          </w:tcPr>
          <w:p>
            <w:pPr>
              <w:spacing w:line="360" w:lineRule="auto"/>
              <w:jc w:val="center"/>
              <w:rPr>
                <w:rFonts w:hint="eastAsia" w:ascii="宋体" w:hAnsi="宋体" w:eastAsia="宋体" w:cs="Times New Roman"/>
                <w:b/>
                <w:color w:val="FF0000"/>
                <w:kern w:val="2"/>
                <w:sz w:val="28"/>
                <w:szCs w:val="28"/>
                <w:vertAlign w:val="baseline"/>
                <w:lang w:val="en-US" w:eastAsia="zh-CN" w:bidi="ar-SA"/>
              </w:rPr>
            </w:pPr>
            <w:r>
              <w:rPr>
                <w:rFonts w:hint="eastAsia" w:ascii="宋体" w:hAnsi="宋体"/>
                <w:b/>
                <w:color w:val="FF0000"/>
                <w:sz w:val="22"/>
                <w:szCs w:val="22"/>
                <w:vertAlign w:val="baseline"/>
                <w:lang w:val="en-US" w:eastAsia="zh-CN"/>
              </w:rPr>
              <w:t>36套</w:t>
            </w:r>
          </w:p>
        </w:tc>
        <w:tc>
          <w:tcPr>
            <w:tcW w:w="2444" w:type="dxa"/>
            <w:noWrap w:val="0"/>
            <w:vAlign w:val="center"/>
          </w:tcPr>
          <w:p>
            <w:pPr>
              <w:spacing w:line="360" w:lineRule="auto"/>
              <w:jc w:val="center"/>
              <w:rPr>
                <w:rFonts w:hint="eastAsia" w:ascii="宋体" w:hAnsi="宋体"/>
                <w:b/>
                <w:color w:val="FF0000"/>
                <w:sz w:val="28"/>
                <w:szCs w:val="28"/>
                <w:vertAlign w:val="baseline"/>
                <w:lang w:eastAsia="zh-CN"/>
              </w:rPr>
            </w:pPr>
            <w:r>
              <w:rPr>
                <w:rFonts w:hint="eastAsia" w:ascii="宋体" w:hAnsi="宋体"/>
                <w:b/>
                <w:color w:val="FF0000"/>
                <w:sz w:val="28"/>
                <w:szCs w:val="28"/>
                <w:vertAlign w:val="baseline"/>
                <w:lang w:val="en-US" w:eastAsia="zh-CN"/>
              </w:rPr>
              <w:t>铸管部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3"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cs="Times New Roman"/>
                <w:b/>
                <w:color w:val="FF0000"/>
                <w:kern w:val="2"/>
                <w:sz w:val="22"/>
                <w:szCs w:val="22"/>
                <w:vertAlign w:val="baseline"/>
                <w:lang w:val="en-US" w:eastAsia="zh-CN" w:bidi="ar-SA"/>
              </w:rPr>
              <w:t>标段五</w:t>
            </w:r>
          </w:p>
        </w:tc>
        <w:tc>
          <w:tcPr>
            <w:tcW w:w="2444"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b/>
                <w:color w:val="FF0000"/>
                <w:sz w:val="22"/>
                <w:szCs w:val="22"/>
                <w:vertAlign w:val="baseline"/>
                <w:lang w:val="en-US" w:eastAsia="zh-CN"/>
              </w:rPr>
              <w:t>石墨耙子</w:t>
            </w:r>
          </w:p>
        </w:tc>
        <w:tc>
          <w:tcPr>
            <w:tcW w:w="2444" w:type="dxa"/>
            <w:noWrap w:val="0"/>
            <w:vAlign w:val="center"/>
          </w:tcPr>
          <w:p>
            <w:pPr>
              <w:spacing w:line="360" w:lineRule="auto"/>
              <w:jc w:val="center"/>
              <w:rPr>
                <w:rFonts w:hint="eastAsia" w:ascii="宋体" w:hAnsi="宋体" w:eastAsia="宋体" w:cs="Times New Roman"/>
                <w:b/>
                <w:color w:val="FF0000"/>
                <w:kern w:val="2"/>
                <w:sz w:val="28"/>
                <w:szCs w:val="28"/>
                <w:vertAlign w:val="baseline"/>
                <w:lang w:val="en-US" w:eastAsia="zh-CN" w:bidi="ar-SA"/>
              </w:rPr>
            </w:pPr>
            <w:r>
              <w:rPr>
                <w:rFonts w:hint="eastAsia" w:ascii="宋体" w:hAnsi="宋体"/>
                <w:b/>
                <w:color w:val="FF0000"/>
                <w:sz w:val="22"/>
                <w:szCs w:val="22"/>
                <w:vertAlign w:val="baseline"/>
                <w:lang w:val="en-US" w:eastAsia="zh-CN"/>
              </w:rPr>
              <w:t>1000块</w:t>
            </w:r>
          </w:p>
        </w:tc>
        <w:tc>
          <w:tcPr>
            <w:tcW w:w="2444" w:type="dxa"/>
            <w:noWrap w:val="0"/>
            <w:vAlign w:val="center"/>
          </w:tcPr>
          <w:p>
            <w:pPr>
              <w:spacing w:line="360" w:lineRule="auto"/>
              <w:jc w:val="center"/>
              <w:rPr>
                <w:rFonts w:hint="eastAsia" w:ascii="宋体" w:hAnsi="宋体"/>
                <w:b/>
                <w:color w:val="FF0000"/>
                <w:sz w:val="28"/>
                <w:szCs w:val="28"/>
                <w:vertAlign w:val="baseline"/>
                <w:lang w:eastAsia="zh-CN"/>
              </w:rPr>
            </w:pPr>
            <w:r>
              <w:rPr>
                <w:rFonts w:hint="eastAsia" w:ascii="宋体" w:hAnsi="宋体"/>
                <w:b/>
                <w:color w:val="FF0000"/>
                <w:sz w:val="28"/>
                <w:szCs w:val="28"/>
                <w:vertAlign w:val="baseline"/>
                <w:lang w:val="en-US" w:eastAsia="zh-CN"/>
              </w:rPr>
              <w:t>铸管部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43"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cs="Times New Roman"/>
                <w:b/>
                <w:color w:val="FF0000"/>
                <w:kern w:val="2"/>
                <w:sz w:val="22"/>
                <w:szCs w:val="22"/>
                <w:vertAlign w:val="baseline"/>
                <w:lang w:val="en-US" w:eastAsia="zh-CN" w:bidi="ar-SA"/>
              </w:rPr>
              <w:t>标段六</w:t>
            </w:r>
          </w:p>
        </w:tc>
        <w:tc>
          <w:tcPr>
            <w:tcW w:w="2444" w:type="dxa"/>
            <w:noWrap w:val="0"/>
            <w:vAlign w:val="center"/>
          </w:tcPr>
          <w:p>
            <w:pPr>
              <w:spacing w:line="360" w:lineRule="auto"/>
              <w:jc w:val="center"/>
              <w:rPr>
                <w:rFonts w:hint="eastAsia" w:ascii="宋体" w:hAnsi="宋体" w:eastAsia="宋体" w:cs="Times New Roman"/>
                <w:b/>
                <w:color w:val="FF0000"/>
                <w:kern w:val="2"/>
                <w:sz w:val="22"/>
                <w:szCs w:val="22"/>
                <w:vertAlign w:val="baseline"/>
                <w:lang w:val="en-US" w:eastAsia="zh-CN" w:bidi="ar-SA"/>
              </w:rPr>
            </w:pPr>
            <w:r>
              <w:rPr>
                <w:rFonts w:hint="eastAsia" w:ascii="宋体" w:hAnsi="宋体"/>
                <w:b/>
                <w:color w:val="FF0000"/>
                <w:sz w:val="22"/>
                <w:szCs w:val="22"/>
                <w:vertAlign w:val="baseline"/>
                <w:lang w:val="en-US" w:eastAsia="zh-CN"/>
              </w:rPr>
              <w:t>石墨包嘴</w:t>
            </w:r>
          </w:p>
        </w:tc>
        <w:tc>
          <w:tcPr>
            <w:tcW w:w="2444" w:type="dxa"/>
            <w:noWrap w:val="0"/>
            <w:vAlign w:val="center"/>
          </w:tcPr>
          <w:p>
            <w:pPr>
              <w:spacing w:line="360" w:lineRule="auto"/>
              <w:jc w:val="center"/>
              <w:rPr>
                <w:rFonts w:hint="eastAsia" w:ascii="宋体" w:hAnsi="宋体" w:eastAsia="宋体" w:cs="Times New Roman"/>
                <w:b/>
                <w:color w:val="FF0000"/>
                <w:kern w:val="2"/>
                <w:sz w:val="28"/>
                <w:szCs w:val="28"/>
                <w:vertAlign w:val="baseline"/>
                <w:lang w:val="en-US" w:eastAsia="zh-CN" w:bidi="ar-SA"/>
              </w:rPr>
            </w:pPr>
            <w:r>
              <w:rPr>
                <w:rFonts w:hint="eastAsia" w:ascii="宋体" w:hAnsi="宋体"/>
                <w:b/>
                <w:color w:val="FF0000"/>
                <w:sz w:val="22"/>
                <w:szCs w:val="22"/>
                <w:vertAlign w:val="baseline"/>
                <w:lang w:val="en-US" w:eastAsia="zh-CN"/>
              </w:rPr>
              <w:t>360块</w:t>
            </w:r>
          </w:p>
        </w:tc>
        <w:tc>
          <w:tcPr>
            <w:tcW w:w="2444" w:type="dxa"/>
            <w:noWrap w:val="0"/>
            <w:vAlign w:val="center"/>
          </w:tcPr>
          <w:p>
            <w:pPr>
              <w:spacing w:line="360" w:lineRule="auto"/>
              <w:jc w:val="center"/>
              <w:rPr>
                <w:rFonts w:hint="default" w:ascii="宋体" w:hAnsi="宋体"/>
                <w:b/>
                <w:color w:val="FF0000"/>
                <w:sz w:val="28"/>
                <w:szCs w:val="28"/>
                <w:vertAlign w:val="baseline"/>
                <w:lang w:val="en-US" w:eastAsia="zh-CN"/>
              </w:rPr>
            </w:pPr>
            <w:r>
              <w:rPr>
                <w:rFonts w:hint="eastAsia" w:ascii="宋体" w:hAnsi="宋体"/>
                <w:b/>
                <w:color w:val="FF0000"/>
                <w:sz w:val="28"/>
                <w:szCs w:val="28"/>
                <w:vertAlign w:val="baseline"/>
                <w:lang w:val="en-US" w:eastAsia="zh-CN"/>
              </w:rPr>
              <w:t>铸锻部</w:t>
            </w:r>
            <w:bookmarkStart w:id="0" w:name="_GoBack"/>
            <w:bookmarkEnd w:id="0"/>
          </w:p>
        </w:tc>
      </w:tr>
    </w:tbl>
    <w:p>
      <w:pPr>
        <w:numPr>
          <w:ilvl w:val="0"/>
          <w:numId w:val="9"/>
        </w:numPr>
        <w:spacing w:line="360" w:lineRule="auto"/>
        <w:ind w:left="63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按我方要求随时准备送货进厂。</w:t>
      </w:r>
    </w:p>
    <w:p>
      <w:pPr>
        <w:numPr>
          <w:ilvl w:val="0"/>
          <w:numId w:val="9"/>
        </w:numPr>
        <w:spacing w:line="360" w:lineRule="auto"/>
        <w:ind w:left="63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业绩要求，提供2019年至今一份或一份以上对铸管企业相关的供货业绩。</w:t>
      </w:r>
      <w:r>
        <w:rPr>
          <w:rFonts w:hint="eastAsia" w:ascii="宋体" w:hAnsi="宋体" w:cs="Times New Roman"/>
          <w:b/>
          <w:color w:val="FF0000"/>
          <w:sz w:val="24"/>
          <w:szCs w:val="24"/>
          <w:lang w:val="en-US" w:eastAsia="zh-CN"/>
        </w:rPr>
        <w:t>（附：合同+发票复印件）</w:t>
      </w:r>
    </w:p>
    <w:p>
      <w:pPr>
        <w:numPr>
          <w:ilvl w:val="0"/>
          <w:numId w:val="9"/>
        </w:numPr>
        <w:spacing w:line="360" w:lineRule="auto"/>
        <w:ind w:left="630" w:leftChars="0" w:firstLine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参标单位必须满足招标数量要求。</w:t>
      </w:r>
    </w:p>
    <w:p>
      <w:pPr>
        <w:numPr>
          <w:ilvl w:val="0"/>
          <w:numId w:val="9"/>
        </w:numPr>
        <w:spacing w:line="360" w:lineRule="auto"/>
        <w:ind w:left="630" w:leftChars="0" w:firstLineChars="0"/>
        <w:rPr>
          <w:rFonts w:hint="default" w:ascii="宋体" w:hAnsi="宋体" w:cs="Times New Roman"/>
          <w:b/>
          <w:color w:val="FF0000"/>
          <w:sz w:val="24"/>
          <w:szCs w:val="24"/>
          <w:lang w:val="en-US" w:eastAsia="zh-CN"/>
        </w:rPr>
      </w:pPr>
      <w:r>
        <w:rPr>
          <w:rFonts w:hint="eastAsia" w:ascii="宋体" w:hAnsi="宋体" w:eastAsia="宋体" w:cs="Times New Roman"/>
          <w:b/>
          <w:color w:val="FF0000"/>
          <w:kern w:val="2"/>
          <w:sz w:val="24"/>
          <w:szCs w:val="24"/>
          <w:lang w:val="en-US" w:eastAsia="zh-CN" w:bidi="ar-SA"/>
        </w:rPr>
        <w:t>本次招标项目未设最高限价，有效报价超过三家的实行最高价淘汰</w:t>
      </w:r>
      <w:r>
        <w:rPr>
          <w:rFonts w:hint="eastAsia" w:ascii="宋体" w:hAnsi="宋体" w:cs="Times New Roman"/>
          <w:b/>
          <w:color w:val="FF0000"/>
          <w:kern w:val="2"/>
          <w:sz w:val="24"/>
          <w:szCs w:val="24"/>
          <w:lang w:val="en-US" w:eastAsia="zh-CN" w:bidi="ar-SA"/>
        </w:rPr>
        <w:t>。</w:t>
      </w:r>
    </w:p>
    <w:p>
      <w:pPr>
        <w:rPr>
          <w:b/>
          <w:sz w:val="24"/>
          <w:szCs w:val="24"/>
        </w:rPr>
      </w:pPr>
    </w:p>
    <w:p>
      <w:pPr>
        <w:pStyle w:val="2"/>
        <w:rPr>
          <w:b/>
          <w:sz w:val="24"/>
          <w:szCs w:val="24"/>
        </w:rPr>
      </w:pPr>
    </w:p>
    <w:p>
      <w:pPr>
        <w:rPr>
          <w:b/>
          <w:sz w:val="24"/>
          <w:szCs w:val="24"/>
        </w:rPr>
      </w:pPr>
    </w:p>
    <w:p>
      <w:pPr>
        <w:pStyle w:val="2"/>
      </w:pPr>
    </w:p>
    <w:p/>
    <w:p>
      <w:pPr>
        <w:pStyle w:val="2"/>
      </w:pPr>
    </w:p>
    <w:p/>
    <w:p>
      <w:pPr>
        <w:pStyle w:val="2"/>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6</w:t>
      </w:r>
      <w:r>
        <w:rPr>
          <w:rFonts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w:t>
      </w: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10"/>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u w:val="single"/>
          <w:lang w:val="en-US" w:eastAsia="zh-CN"/>
        </w:rPr>
        <w:t>落槽砖系列</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p>
      <w:pPr>
        <w:pStyle w:val="2"/>
        <w:rPr>
          <w:rFonts w:hint="default"/>
          <w:sz w:val="20"/>
          <w:szCs w:val="18"/>
          <w:lang w:val="en-US" w:eastAsia="zh-CN"/>
        </w:rPr>
      </w:pPr>
    </w:p>
    <w:p>
      <w:pPr>
        <w:keepNext/>
        <w:keepLines/>
        <w:tabs>
          <w:tab w:val="left" w:pos="432"/>
        </w:tabs>
        <w:adjustRightInd w:val="0"/>
        <w:snapToGrid w:val="0"/>
        <w:spacing w:line="360" w:lineRule="auto"/>
        <w:jc w:val="center"/>
        <w:outlineLvl w:val="0"/>
        <w:rPr>
          <w:rFonts w:hint="eastAsia" w:ascii="宋体" w:hAnsi="宋体" w:cs="宋体"/>
          <w:bCs/>
          <w:sz w:val="24"/>
          <w:szCs w:val="24"/>
        </w:rPr>
      </w:pP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pPr>
        <w:ind w:left="-210"/>
      </w:pPr>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2"/>
    <w:lvlOverride w:ilvl="0">
      <w:startOverride w:val="1"/>
    </w:lvlOverride>
  </w:num>
  <w:num w:numId="3">
    <w:abstractNumId w:val="6"/>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TI2YmM2ZWY0MWUxMWJhMDA3OTI2MTg5ZTllZjcifQ=="/>
  </w:docVars>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1EA0118"/>
    <w:rsid w:val="02F9403D"/>
    <w:rsid w:val="0310587B"/>
    <w:rsid w:val="038D2F19"/>
    <w:rsid w:val="0399230F"/>
    <w:rsid w:val="043C4162"/>
    <w:rsid w:val="04823B21"/>
    <w:rsid w:val="04B74C29"/>
    <w:rsid w:val="04CE3E6C"/>
    <w:rsid w:val="050E6648"/>
    <w:rsid w:val="05324816"/>
    <w:rsid w:val="05325D34"/>
    <w:rsid w:val="05350A6F"/>
    <w:rsid w:val="053B5FB3"/>
    <w:rsid w:val="05C52E89"/>
    <w:rsid w:val="05D405CB"/>
    <w:rsid w:val="05DE4E53"/>
    <w:rsid w:val="06124322"/>
    <w:rsid w:val="06897D7B"/>
    <w:rsid w:val="069D6451"/>
    <w:rsid w:val="06CB7169"/>
    <w:rsid w:val="06DC0977"/>
    <w:rsid w:val="071C5217"/>
    <w:rsid w:val="075B5D40"/>
    <w:rsid w:val="07BA48CA"/>
    <w:rsid w:val="07F32621"/>
    <w:rsid w:val="08024924"/>
    <w:rsid w:val="0831406E"/>
    <w:rsid w:val="08386081"/>
    <w:rsid w:val="083A4C2B"/>
    <w:rsid w:val="085B58B3"/>
    <w:rsid w:val="08A2100E"/>
    <w:rsid w:val="08A96692"/>
    <w:rsid w:val="08C72732"/>
    <w:rsid w:val="090F2391"/>
    <w:rsid w:val="09694018"/>
    <w:rsid w:val="097B7AE5"/>
    <w:rsid w:val="0A013E41"/>
    <w:rsid w:val="0A6F1B02"/>
    <w:rsid w:val="0A917FB6"/>
    <w:rsid w:val="0AF63A42"/>
    <w:rsid w:val="0B106156"/>
    <w:rsid w:val="0B187AA4"/>
    <w:rsid w:val="0B5E1A54"/>
    <w:rsid w:val="0BFF25BD"/>
    <w:rsid w:val="0C3152C1"/>
    <w:rsid w:val="0CBC295F"/>
    <w:rsid w:val="0D004C93"/>
    <w:rsid w:val="0D2F279C"/>
    <w:rsid w:val="0D817B82"/>
    <w:rsid w:val="0DCC0A80"/>
    <w:rsid w:val="0DF07D84"/>
    <w:rsid w:val="0E012A71"/>
    <w:rsid w:val="0E497616"/>
    <w:rsid w:val="0E842CB1"/>
    <w:rsid w:val="0ECE2C3C"/>
    <w:rsid w:val="0EEB0BB2"/>
    <w:rsid w:val="0F0803D8"/>
    <w:rsid w:val="0F347211"/>
    <w:rsid w:val="0FA76F34"/>
    <w:rsid w:val="10031B51"/>
    <w:rsid w:val="10094A89"/>
    <w:rsid w:val="10305890"/>
    <w:rsid w:val="10CA64E1"/>
    <w:rsid w:val="110928F7"/>
    <w:rsid w:val="114D2C06"/>
    <w:rsid w:val="115832F0"/>
    <w:rsid w:val="11654D47"/>
    <w:rsid w:val="11A626A7"/>
    <w:rsid w:val="11BA6270"/>
    <w:rsid w:val="11F03528"/>
    <w:rsid w:val="11F052D6"/>
    <w:rsid w:val="12623A3F"/>
    <w:rsid w:val="127E0B34"/>
    <w:rsid w:val="131E40C5"/>
    <w:rsid w:val="135C10D5"/>
    <w:rsid w:val="139F3DA1"/>
    <w:rsid w:val="13D576D7"/>
    <w:rsid w:val="14772C2B"/>
    <w:rsid w:val="14881933"/>
    <w:rsid w:val="14F3071A"/>
    <w:rsid w:val="153B7F69"/>
    <w:rsid w:val="154D48F1"/>
    <w:rsid w:val="158A4695"/>
    <w:rsid w:val="15F15FE6"/>
    <w:rsid w:val="16473008"/>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6E76E0"/>
    <w:rsid w:val="1A783E86"/>
    <w:rsid w:val="1A8A6D05"/>
    <w:rsid w:val="1AA53F86"/>
    <w:rsid w:val="1AC95F4C"/>
    <w:rsid w:val="1AF916A0"/>
    <w:rsid w:val="1B5669A2"/>
    <w:rsid w:val="1B846959"/>
    <w:rsid w:val="1B912201"/>
    <w:rsid w:val="1BB65A49"/>
    <w:rsid w:val="1C430554"/>
    <w:rsid w:val="1CCB1E53"/>
    <w:rsid w:val="1D2E11E1"/>
    <w:rsid w:val="1D594678"/>
    <w:rsid w:val="1E8C7D42"/>
    <w:rsid w:val="1E8E57E6"/>
    <w:rsid w:val="1E937D02"/>
    <w:rsid w:val="1F0727C6"/>
    <w:rsid w:val="1F0B69B1"/>
    <w:rsid w:val="1F107E3E"/>
    <w:rsid w:val="1F307613"/>
    <w:rsid w:val="1F3C22B5"/>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5418B2"/>
    <w:rsid w:val="227C4964"/>
    <w:rsid w:val="22B96773"/>
    <w:rsid w:val="22E00851"/>
    <w:rsid w:val="233063C3"/>
    <w:rsid w:val="235C23EB"/>
    <w:rsid w:val="23701C2F"/>
    <w:rsid w:val="23CB766B"/>
    <w:rsid w:val="23CE57C2"/>
    <w:rsid w:val="23D22DCD"/>
    <w:rsid w:val="246A25A2"/>
    <w:rsid w:val="246A53BC"/>
    <w:rsid w:val="25206CD2"/>
    <w:rsid w:val="25230E4D"/>
    <w:rsid w:val="25466F1F"/>
    <w:rsid w:val="25871E1F"/>
    <w:rsid w:val="258E0AE8"/>
    <w:rsid w:val="25B129B0"/>
    <w:rsid w:val="25F74A2E"/>
    <w:rsid w:val="261E645E"/>
    <w:rsid w:val="266100F9"/>
    <w:rsid w:val="268D7081"/>
    <w:rsid w:val="26F50CB1"/>
    <w:rsid w:val="26F906B4"/>
    <w:rsid w:val="27233601"/>
    <w:rsid w:val="278055FF"/>
    <w:rsid w:val="288D3DC5"/>
    <w:rsid w:val="28926C90"/>
    <w:rsid w:val="28A22ADC"/>
    <w:rsid w:val="28B030F4"/>
    <w:rsid w:val="28D56B7C"/>
    <w:rsid w:val="28E2171B"/>
    <w:rsid w:val="28F7675F"/>
    <w:rsid w:val="29401D6D"/>
    <w:rsid w:val="29DF4157"/>
    <w:rsid w:val="29FD45DD"/>
    <w:rsid w:val="2A207F5F"/>
    <w:rsid w:val="2ACB0AF1"/>
    <w:rsid w:val="2AD52E64"/>
    <w:rsid w:val="2AF91248"/>
    <w:rsid w:val="2B5B780D"/>
    <w:rsid w:val="2BBB5AD5"/>
    <w:rsid w:val="2BF10F3E"/>
    <w:rsid w:val="2BF40243"/>
    <w:rsid w:val="2BFD06EE"/>
    <w:rsid w:val="2C1A2642"/>
    <w:rsid w:val="2C204052"/>
    <w:rsid w:val="2C4E01C4"/>
    <w:rsid w:val="2CF31D5E"/>
    <w:rsid w:val="2D4A7B39"/>
    <w:rsid w:val="2D7352E2"/>
    <w:rsid w:val="2DAF3E40"/>
    <w:rsid w:val="2DCF44E2"/>
    <w:rsid w:val="2E3D1B0F"/>
    <w:rsid w:val="2EA431DB"/>
    <w:rsid w:val="2EDD294B"/>
    <w:rsid w:val="2EF7647F"/>
    <w:rsid w:val="2F163A70"/>
    <w:rsid w:val="2F761165"/>
    <w:rsid w:val="2F803CE6"/>
    <w:rsid w:val="302E15AB"/>
    <w:rsid w:val="3036622A"/>
    <w:rsid w:val="30474844"/>
    <w:rsid w:val="306233EC"/>
    <w:rsid w:val="30CA3841"/>
    <w:rsid w:val="30EB33E1"/>
    <w:rsid w:val="3130279D"/>
    <w:rsid w:val="313649C9"/>
    <w:rsid w:val="31DF7B93"/>
    <w:rsid w:val="324F62A8"/>
    <w:rsid w:val="32E00DA4"/>
    <w:rsid w:val="32F7522E"/>
    <w:rsid w:val="330C763F"/>
    <w:rsid w:val="33525999"/>
    <w:rsid w:val="339D246B"/>
    <w:rsid w:val="33BC4094"/>
    <w:rsid w:val="33DE5B5C"/>
    <w:rsid w:val="33F407FF"/>
    <w:rsid w:val="342060A8"/>
    <w:rsid w:val="34B14942"/>
    <w:rsid w:val="34BB556C"/>
    <w:rsid w:val="35212328"/>
    <w:rsid w:val="354C01C6"/>
    <w:rsid w:val="357240D1"/>
    <w:rsid w:val="357856A1"/>
    <w:rsid w:val="358603F2"/>
    <w:rsid w:val="367C3DC7"/>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D243C9"/>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626F64"/>
    <w:rsid w:val="3FC82DB5"/>
    <w:rsid w:val="402E5098"/>
    <w:rsid w:val="40464190"/>
    <w:rsid w:val="40471E5C"/>
    <w:rsid w:val="404A6AC9"/>
    <w:rsid w:val="406012F8"/>
    <w:rsid w:val="40E60214"/>
    <w:rsid w:val="40F24318"/>
    <w:rsid w:val="41394D83"/>
    <w:rsid w:val="41803823"/>
    <w:rsid w:val="41923405"/>
    <w:rsid w:val="419E3A51"/>
    <w:rsid w:val="41A706B0"/>
    <w:rsid w:val="41BF02F4"/>
    <w:rsid w:val="422E1FDF"/>
    <w:rsid w:val="423C71D1"/>
    <w:rsid w:val="42417305"/>
    <w:rsid w:val="424A314A"/>
    <w:rsid w:val="426213B7"/>
    <w:rsid w:val="42CE1EFE"/>
    <w:rsid w:val="435C1211"/>
    <w:rsid w:val="43943464"/>
    <w:rsid w:val="43DE4636"/>
    <w:rsid w:val="44106AE0"/>
    <w:rsid w:val="44367FF1"/>
    <w:rsid w:val="446C7AC2"/>
    <w:rsid w:val="449B55B4"/>
    <w:rsid w:val="44D22496"/>
    <w:rsid w:val="4500284B"/>
    <w:rsid w:val="45407B03"/>
    <w:rsid w:val="45C004AA"/>
    <w:rsid w:val="46587D68"/>
    <w:rsid w:val="46AA2F9F"/>
    <w:rsid w:val="46CC5915"/>
    <w:rsid w:val="47290683"/>
    <w:rsid w:val="47847BD9"/>
    <w:rsid w:val="478A34FC"/>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8E11B2"/>
    <w:rsid w:val="4CBD7ED0"/>
    <w:rsid w:val="4D23274F"/>
    <w:rsid w:val="4D7B2123"/>
    <w:rsid w:val="4D817459"/>
    <w:rsid w:val="4DC66F68"/>
    <w:rsid w:val="4DE80F7C"/>
    <w:rsid w:val="4E091027"/>
    <w:rsid w:val="4E0E6243"/>
    <w:rsid w:val="4E1D39CD"/>
    <w:rsid w:val="4E343381"/>
    <w:rsid w:val="4ED37EC9"/>
    <w:rsid w:val="505C46C9"/>
    <w:rsid w:val="50A53155"/>
    <w:rsid w:val="50A67633"/>
    <w:rsid w:val="50E43B46"/>
    <w:rsid w:val="510A2956"/>
    <w:rsid w:val="512A5408"/>
    <w:rsid w:val="514F2EE0"/>
    <w:rsid w:val="517F329F"/>
    <w:rsid w:val="51856AE2"/>
    <w:rsid w:val="51A458AF"/>
    <w:rsid w:val="51CD60D0"/>
    <w:rsid w:val="527F49C8"/>
    <w:rsid w:val="52D332CB"/>
    <w:rsid w:val="52DB10B0"/>
    <w:rsid w:val="52E54E97"/>
    <w:rsid w:val="52EE0AE7"/>
    <w:rsid w:val="530323B4"/>
    <w:rsid w:val="536967A8"/>
    <w:rsid w:val="53AB6FFE"/>
    <w:rsid w:val="5403556E"/>
    <w:rsid w:val="54532EC8"/>
    <w:rsid w:val="54664C18"/>
    <w:rsid w:val="5503669C"/>
    <w:rsid w:val="554C057B"/>
    <w:rsid w:val="55D50038"/>
    <w:rsid w:val="56065626"/>
    <w:rsid w:val="562E1D47"/>
    <w:rsid w:val="566E6D8E"/>
    <w:rsid w:val="56717635"/>
    <w:rsid w:val="56B606CC"/>
    <w:rsid w:val="56FF0A43"/>
    <w:rsid w:val="578238C5"/>
    <w:rsid w:val="57AC75B3"/>
    <w:rsid w:val="57CA524F"/>
    <w:rsid w:val="57D705F2"/>
    <w:rsid w:val="57EA4190"/>
    <w:rsid w:val="57F740DC"/>
    <w:rsid w:val="58095D77"/>
    <w:rsid w:val="58AE198D"/>
    <w:rsid w:val="58E53A38"/>
    <w:rsid w:val="59677D4F"/>
    <w:rsid w:val="598A03E4"/>
    <w:rsid w:val="59A57A14"/>
    <w:rsid w:val="59CC7162"/>
    <w:rsid w:val="5AAF6E02"/>
    <w:rsid w:val="5AEA3AD0"/>
    <w:rsid w:val="5B0D3DD0"/>
    <w:rsid w:val="5B1D2529"/>
    <w:rsid w:val="5B35349E"/>
    <w:rsid w:val="5B3F7D83"/>
    <w:rsid w:val="5B527398"/>
    <w:rsid w:val="5BA959B9"/>
    <w:rsid w:val="5BCF0AD5"/>
    <w:rsid w:val="5C2447C0"/>
    <w:rsid w:val="5C4F17D1"/>
    <w:rsid w:val="5CBD5382"/>
    <w:rsid w:val="5CC70FAC"/>
    <w:rsid w:val="5D173705"/>
    <w:rsid w:val="5D1B4B8A"/>
    <w:rsid w:val="5D2F4D69"/>
    <w:rsid w:val="5D753EAF"/>
    <w:rsid w:val="5D915ACD"/>
    <w:rsid w:val="5DED3C99"/>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BB05B6"/>
    <w:rsid w:val="62CD795C"/>
    <w:rsid w:val="62D41677"/>
    <w:rsid w:val="63640C4D"/>
    <w:rsid w:val="63825779"/>
    <w:rsid w:val="64173632"/>
    <w:rsid w:val="64191A38"/>
    <w:rsid w:val="6438579B"/>
    <w:rsid w:val="64717620"/>
    <w:rsid w:val="655749FB"/>
    <w:rsid w:val="65E5671A"/>
    <w:rsid w:val="667473F9"/>
    <w:rsid w:val="669C06FE"/>
    <w:rsid w:val="66A321D4"/>
    <w:rsid w:val="66EA0C9A"/>
    <w:rsid w:val="66FB3BC1"/>
    <w:rsid w:val="67023348"/>
    <w:rsid w:val="6753255C"/>
    <w:rsid w:val="678F7868"/>
    <w:rsid w:val="67A535E2"/>
    <w:rsid w:val="67C021CA"/>
    <w:rsid w:val="682F2F2C"/>
    <w:rsid w:val="686F59C5"/>
    <w:rsid w:val="68985C4A"/>
    <w:rsid w:val="68BB275A"/>
    <w:rsid w:val="68DB550E"/>
    <w:rsid w:val="69107F50"/>
    <w:rsid w:val="695E0A51"/>
    <w:rsid w:val="696A60B8"/>
    <w:rsid w:val="69C73CE4"/>
    <w:rsid w:val="69EE74C3"/>
    <w:rsid w:val="6A570BC4"/>
    <w:rsid w:val="6AE04711"/>
    <w:rsid w:val="6AE713EB"/>
    <w:rsid w:val="6B015D37"/>
    <w:rsid w:val="6B5415A7"/>
    <w:rsid w:val="6B8D7C67"/>
    <w:rsid w:val="6B9014C7"/>
    <w:rsid w:val="6BA16731"/>
    <w:rsid w:val="6BB3784E"/>
    <w:rsid w:val="6C5C0714"/>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8124CC"/>
    <w:rsid w:val="6FA32AFD"/>
    <w:rsid w:val="70243E6C"/>
    <w:rsid w:val="706A3FF6"/>
    <w:rsid w:val="70737BDA"/>
    <w:rsid w:val="70D03715"/>
    <w:rsid w:val="70E0155E"/>
    <w:rsid w:val="711219DD"/>
    <w:rsid w:val="712A32C5"/>
    <w:rsid w:val="713C5670"/>
    <w:rsid w:val="719201E7"/>
    <w:rsid w:val="71B627D1"/>
    <w:rsid w:val="71F96DCA"/>
    <w:rsid w:val="72107C5B"/>
    <w:rsid w:val="732D2693"/>
    <w:rsid w:val="73476175"/>
    <w:rsid w:val="7357254E"/>
    <w:rsid w:val="73611393"/>
    <w:rsid w:val="7431112D"/>
    <w:rsid w:val="749D6575"/>
    <w:rsid w:val="74D10994"/>
    <w:rsid w:val="74E60E95"/>
    <w:rsid w:val="7516167C"/>
    <w:rsid w:val="751C3136"/>
    <w:rsid w:val="752D5343"/>
    <w:rsid w:val="754F1E1A"/>
    <w:rsid w:val="759929D8"/>
    <w:rsid w:val="761859F6"/>
    <w:rsid w:val="76206BC5"/>
    <w:rsid w:val="764A782F"/>
    <w:rsid w:val="76816FC9"/>
    <w:rsid w:val="76EB3FE1"/>
    <w:rsid w:val="770E210B"/>
    <w:rsid w:val="772D76F7"/>
    <w:rsid w:val="773210D8"/>
    <w:rsid w:val="77514815"/>
    <w:rsid w:val="77846985"/>
    <w:rsid w:val="778A5616"/>
    <w:rsid w:val="77F80B55"/>
    <w:rsid w:val="780E1C86"/>
    <w:rsid w:val="78184195"/>
    <w:rsid w:val="782A7918"/>
    <w:rsid w:val="784529A4"/>
    <w:rsid w:val="784D0939"/>
    <w:rsid w:val="786D5A56"/>
    <w:rsid w:val="78852DA0"/>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1165F"/>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3"/>
    <w:qFormat/>
    <w:uiPriority w:val="0"/>
    <w:rPr>
      <w:rFonts w:ascii="宋体" w:hAnsi="宋体"/>
      <w:b/>
      <w:sz w:val="36"/>
      <w:szCs w:val="36"/>
    </w:rPr>
  </w:style>
  <w:style w:type="character" w:customStyle="1" w:styleId="18">
    <w:name w:val="正文文本 Char"/>
    <w:basedOn w:val="12"/>
    <w:link w:val="2"/>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51"/>
    <w:basedOn w:val="12"/>
    <w:qFormat/>
    <w:uiPriority w:val="0"/>
    <w:rPr>
      <w:rFonts w:hint="eastAsia" w:ascii="宋体" w:hAnsi="宋体" w:eastAsia="宋体" w:cs="宋体"/>
      <w:color w:val="000000"/>
      <w:sz w:val="18"/>
      <w:szCs w:val="18"/>
      <w:u w:val="none"/>
    </w:rPr>
  </w:style>
  <w:style w:type="character" w:customStyle="1" w:styleId="25">
    <w:name w:val="font21"/>
    <w:basedOn w:val="12"/>
    <w:qFormat/>
    <w:uiPriority w:val="0"/>
    <w:rPr>
      <w:rFonts w:hint="default" w:ascii="Times New Roman" w:hAnsi="Times New Roman" w:cs="Times New Roman"/>
      <w:color w:val="000000"/>
      <w:sz w:val="18"/>
      <w:szCs w:val="18"/>
      <w:u w:val="none"/>
    </w:rPr>
  </w:style>
  <w:style w:type="character" w:customStyle="1" w:styleId="26">
    <w:name w:val="font11"/>
    <w:basedOn w:val="12"/>
    <w:qFormat/>
    <w:uiPriority w:val="0"/>
    <w:rPr>
      <w:rFonts w:hint="default" w:ascii="Times New Roman" w:hAnsi="Times New Roman" w:cs="Times New Roman"/>
      <w:color w:val="000000"/>
      <w:sz w:val="28"/>
      <w:szCs w:val="28"/>
      <w:u w:val="none"/>
    </w:rPr>
  </w:style>
  <w:style w:type="character" w:customStyle="1" w:styleId="27">
    <w:name w:val="font01"/>
    <w:basedOn w:val="12"/>
    <w:qFormat/>
    <w:uiPriority w:val="0"/>
    <w:rPr>
      <w:rFonts w:hint="eastAsia" w:ascii="宋体" w:hAnsi="宋体" w:eastAsia="宋体" w:cs="宋体"/>
      <w:color w:val="FF0000"/>
      <w:sz w:val="24"/>
      <w:szCs w:val="24"/>
      <w:u w:val="none"/>
    </w:rPr>
  </w:style>
  <w:style w:type="character" w:customStyle="1" w:styleId="28">
    <w:name w:val="font41"/>
    <w:basedOn w:val="12"/>
    <w:qFormat/>
    <w:uiPriority w:val="0"/>
    <w:rPr>
      <w:rFonts w:hint="default" w:ascii="Times New Roman" w:hAnsi="Times New Roman" w:cs="Times New Roman"/>
      <w:color w:val="000000"/>
      <w:sz w:val="28"/>
      <w:szCs w:val="28"/>
      <w:u w:val="none"/>
    </w:rPr>
  </w:style>
  <w:style w:type="character" w:customStyle="1" w:styleId="29">
    <w:name w:val="font61"/>
    <w:basedOn w:val="12"/>
    <w:qFormat/>
    <w:uiPriority w:val="0"/>
    <w:rPr>
      <w:rFonts w:hint="default" w:ascii="Times New Roman" w:hAnsi="Times New Roman" w:cs="Times New Roman"/>
      <w:color w:val="000000"/>
      <w:sz w:val="18"/>
      <w:szCs w:val="18"/>
      <w:u w:val="none"/>
    </w:rPr>
  </w:style>
  <w:style w:type="character" w:customStyle="1" w:styleId="30">
    <w:name w:val="font71"/>
    <w:basedOn w:val="1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4318</Words>
  <Characters>4646</Characters>
  <Lines>35</Lines>
  <Paragraphs>10</Paragraphs>
  <TotalTime>0</TotalTime>
  <ScaleCrop>false</ScaleCrop>
  <LinksUpToDate>false</LinksUpToDate>
  <CharactersWithSpaces>5734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2022-06-07T07:47:44Z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4995EBE911CD40569EDE3F5D63DAF9B7</vt:lpwstr>
  </property>
</Properties>
</file>