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bookmarkStart w:id="0" w:name="_GoBack"/>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厂内使用挖掘机、装载机项目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YSQC202012010PTRKFY</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厂内使用挖掘机、装载机项目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盘条入库发运项目：</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厂内使用挖掘机、装载机项目，分标段评标：</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综合料场（1#-5#料场）及块矿烘干场地的原燃料打堆、混料、积料清理等使用195型以上挖掘机（4台）；炼铁部铸铁扣罐及高炉、临时破铁重锤区域处理大块渣铁及罐子结盖使用195型以上挖掘机（1台，需配风镐头）；</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2、炼钢部转炉炉坑清理、精炼炉炉坑清理、废钢清理及零星工作（2台195型以上挖掘机、其中1台需配风镐头）；炼钢部棒磨车间喂料、硬块破碎、装车及零星工作（1台195型以上挖掘机）</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3、厂内临时用挖机（195型以上配风镐头挖掘机、195型以上挖掘机、70型配风镐头挖掘机、70型挖掘机，微型挖机1.5-2.5吨）。</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4、炼铁部白灰工部原料打堆、石灰石筛下物装车及所有白灰工部临时性项目作业（50型装载机1台）；</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5、炼铁部铸铁区域作业、协助高炉供料作业及其他临时作业用车（50型装载机1台）；</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6、炼铁部原燃料供料、积料清理及临时性作业用车（50型装载机，白天2台作业，夜里1台作业）；厂内临时用装载机（50型装载机1台）；</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7、钢渣及其磁选产品（精粉、粒子钢、片钢）及尾渣装车倒运、场地清理；转炉炉坑钢渣清理、渣场钢渣及辅料装车、中包垃圾清理及零星工作（2台自卸车（24小时作业），3台50型装载机（棒磨车间1台，24小时作业；炼钢车间2台，车轮需要装防滑链，1台24小时作业，1台每天12小时））。</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4</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bookmarkEnd w:id="0"/>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1、投标方报标段一或标段二时，必须要报标段三。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3、承揽单位必须具备24小时承揽服务能力，配备足够作业人员，合理安排班次，作业人员不得疲劳作业，班次调整时不得连续24小时作业；作业人员须经培训合格后方可上岗。</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6、承揽单位须在履约前准备好车辆、作业人员，所有作业人员需接受用车部门安全培训、业务培训后方可上岗。</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7、合同期：2020年12月29日至2021年6月27日。</w:t>
      </w:r>
    </w:p>
    <w:p>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8、投标单位须具有装卸资质。</w:t>
      </w: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tbl>
      <w:tblPr>
        <w:tblStyle w:val="8"/>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2657"/>
        <w:gridCol w:w="1631"/>
        <w:gridCol w:w="2510"/>
        <w:gridCol w:w="1119"/>
        <w:gridCol w:w="90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标段</w:t>
            </w: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结算方式</w:t>
            </w:r>
          </w:p>
        </w:tc>
        <w:tc>
          <w:tcPr>
            <w:tcW w:w="11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单价   </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元</w:t>
            </w:r>
          </w:p>
        </w:tc>
        <w:tc>
          <w:tcPr>
            <w:tcW w:w="7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7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炼铁部综合料场（1#-5#料场）及块矿烘干场地的原燃料打堆、混料、积料清理等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195型以上挖掘机（4台）</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烧结产量约</w:t>
            </w:r>
            <w:r>
              <w:rPr>
                <w:rFonts w:hint="eastAsia" w:ascii="宋体" w:hAnsi="宋体" w:cs="宋体"/>
                <w:color w:val="auto"/>
                <w:sz w:val="21"/>
                <w:szCs w:val="21"/>
                <w:vertAlign w:val="baseline"/>
                <w:lang w:val="en-US" w:eastAsia="zh-CN"/>
              </w:rPr>
              <w:t>40.6</w:t>
            </w:r>
            <w:r>
              <w:rPr>
                <w:rFonts w:hint="eastAsia" w:ascii="宋体" w:hAnsi="宋体" w:eastAsia="宋体" w:cs="宋体"/>
                <w:color w:val="auto"/>
                <w:sz w:val="21"/>
                <w:szCs w:val="21"/>
                <w:vertAlign w:val="baseline"/>
                <w:lang w:val="en-US" w:eastAsia="zh-CN"/>
              </w:rPr>
              <w:t>万吨/月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c>
          <w:tcPr>
            <w:tcW w:w="7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收票次月付款（转账现汇）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炼铁铸铁扣罐区域处理大块渣铁及罐子结盖</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195型以上挖掘机（1台，需配镐头）</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结算费用=当月铁水产量*单价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铁水产量约23.5万吨/月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0" w:type="dxa"/>
            <w:noWrap w:val="0"/>
            <w:vAlign w:val="center"/>
          </w:tcPr>
          <w:p>
            <w:pPr>
              <w:kinsoku/>
              <w:autoSpaceDE/>
              <w:autoSpaceDN w:val="0"/>
              <w:spacing w:line="240" w:lineRule="auto"/>
              <w:jc w:val="center"/>
              <w:textAlignment w:val="center"/>
              <w:rPr>
                <w:rFonts w:hint="eastAsia" w:ascii="宋体" w:hAnsi="宋体" w:cs="宋体"/>
                <w:sz w:val="21"/>
                <w:szCs w:val="21"/>
                <w:vertAlign w:val="baseline"/>
                <w:lang w:val="en-US" w:eastAsia="zh-CN"/>
              </w:rPr>
            </w:pPr>
          </w:p>
        </w:tc>
        <w:tc>
          <w:tcPr>
            <w:tcW w:w="7917" w:type="dxa"/>
            <w:gridSpan w:val="4"/>
            <w:noWrap w:val="0"/>
            <w:vAlign w:val="center"/>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900"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c>
          <w:tcPr>
            <w:tcW w:w="790" w:type="dxa"/>
            <w:vMerge w:val="continue"/>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0" w:type="dxa"/>
            <w:vMerge w:val="restart"/>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2657"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b w:val="0"/>
                <w:i w:val="0"/>
                <w:snapToGrid/>
                <w:color w:val="000000"/>
                <w:sz w:val="21"/>
                <w:szCs w:val="21"/>
                <w:u w:val="none"/>
                <w:lang w:eastAsia="zh-CN"/>
              </w:rPr>
              <w:t>炼钢部转炉炉坑清理、精炼炉炉坑清理、废钢清理及零星工作</w:t>
            </w:r>
          </w:p>
        </w:tc>
        <w:tc>
          <w:tcPr>
            <w:tcW w:w="1631" w:type="dxa"/>
            <w:noWrap w:val="0"/>
            <w:vAlign w:val="center"/>
          </w:tcPr>
          <w:p>
            <w:pPr>
              <w:kinsoku/>
              <w:autoSpaceDE/>
              <w:autoSpaceDN w:val="0"/>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i w:val="0"/>
                <w:snapToGrid/>
                <w:color w:val="auto"/>
                <w:sz w:val="21"/>
                <w:szCs w:val="21"/>
                <w:u w:val="none"/>
                <w:lang w:eastAsia="zh-CN"/>
              </w:rPr>
              <w:t>2台</w:t>
            </w:r>
            <w:r>
              <w:rPr>
                <w:rFonts w:hint="eastAsia" w:ascii="宋体" w:hAnsi="宋体" w:eastAsia="宋体" w:cs="宋体"/>
                <w:color w:val="auto"/>
                <w:sz w:val="21"/>
                <w:szCs w:val="21"/>
                <w:vertAlign w:val="baseline"/>
                <w:lang w:val="en-US" w:eastAsia="zh-CN"/>
              </w:rPr>
              <w:t>195型以上</w:t>
            </w:r>
            <w:r>
              <w:rPr>
                <w:rFonts w:hint="eastAsia" w:ascii="宋体" w:hAnsi="宋体" w:eastAsia="宋体" w:cs="宋体"/>
                <w:b w:val="0"/>
                <w:i w:val="0"/>
                <w:snapToGrid/>
                <w:color w:val="auto"/>
                <w:sz w:val="21"/>
                <w:szCs w:val="21"/>
                <w:u w:val="none"/>
                <w:lang w:eastAsia="zh-CN"/>
              </w:rPr>
              <w:t>挖掘机、其中</w:t>
            </w:r>
            <w:r>
              <w:rPr>
                <w:rFonts w:hint="eastAsia" w:ascii="宋体" w:hAnsi="宋体" w:eastAsia="宋体" w:cs="宋体"/>
                <w:b w:val="0"/>
                <w:i w:val="0"/>
                <w:snapToGrid/>
                <w:color w:val="auto"/>
                <w:sz w:val="21"/>
                <w:szCs w:val="21"/>
                <w:u w:val="none"/>
                <w:lang w:val="en-US" w:eastAsia="zh-CN"/>
              </w:rPr>
              <w:t>1台需配风镐头</w:t>
            </w:r>
          </w:p>
        </w:tc>
        <w:tc>
          <w:tcPr>
            <w:tcW w:w="2510" w:type="dxa"/>
            <w:noWrap w:val="0"/>
            <w:vAlign w:val="center"/>
          </w:tcPr>
          <w:p>
            <w:pPr>
              <w:kinsoku/>
              <w:autoSpaceDE/>
              <w:autoSpaceDN w:val="0"/>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i w:val="0"/>
                <w:snapToGrid/>
                <w:color w:val="auto"/>
                <w:sz w:val="21"/>
                <w:szCs w:val="21"/>
                <w:u w:val="none"/>
                <w:lang w:eastAsia="zh-CN"/>
              </w:rPr>
              <w:t>费用=当月钢产量*单价          钢产量月均</w:t>
            </w:r>
            <w:r>
              <w:rPr>
                <w:rFonts w:hint="eastAsia" w:ascii="宋体" w:hAnsi="宋体" w:eastAsia="宋体" w:cs="宋体"/>
                <w:b w:val="0"/>
                <w:i w:val="0"/>
                <w:snapToGrid/>
                <w:color w:val="auto"/>
                <w:sz w:val="21"/>
                <w:szCs w:val="21"/>
                <w:u w:val="none"/>
                <w:lang w:val="en-US" w:eastAsia="zh-CN"/>
              </w:rPr>
              <w:t>25.2</w:t>
            </w:r>
            <w:r>
              <w:rPr>
                <w:rFonts w:hint="eastAsia" w:ascii="宋体" w:hAnsi="宋体" w:eastAsia="宋体" w:cs="宋体"/>
                <w:b w:val="0"/>
                <w:i w:val="0"/>
                <w:snapToGrid/>
                <w:color w:val="auto"/>
                <w:sz w:val="21"/>
                <w:szCs w:val="21"/>
                <w:u w:val="none"/>
                <w:lang w:eastAsia="zh-CN"/>
              </w:rPr>
              <w:t>万吨</w:t>
            </w:r>
          </w:p>
        </w:tc>
        <w:tc>
          <w:tcPr>
            <w:tcW w:w="1119"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c>
          <w:tcPr>
            <w:tcW w:w="790" w:type="dxa"/>
            <w:vMerge w:val="continue"/>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70" w:type="dxa"/>
            <w:vMerge w:val="continue"/>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p>
        </w:tc>
        <w:tc>
          <w:tcPr>
            <w:tcW w:w="2657"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color w:val="000000"/>
                <w:sz w:val="21"/>
                <w:szCs w:val="21"/>
                <w:lang w:val="en-US" w:eastAsia="zh-CN"/>
              </w:rPr>
              <w:t>炼钢部棒磨车间喂料、硬块破碎、装车及零星工作</w:t>
            </w:r>
          </w:p>
        </w:tc>
        <w:tc>
          <w:tcPr>
            <w:tcW w:w="1631"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val="en-US" w:eastAsia="zh-CN"/>
              </w:rPr>
              <w:t>195型以上挖掘机（1台）</w:t>
            </w:r>
          </w:p>
        </w:tc>
        <w:tc>
          <w:tcPr>
            <w:tcW w:w="2510"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费用=当月产品倒运量*单价</w:t>
            </w:r>
          </w:p>
          <w:p>
            <w:pPr>
              <w:kinsoku/>
              <w:autoSpaceDE/>
              <w:autoSpaceDN w:val="0"/>
              <w:spacing w:line="240" w:lineRule="auto"/>
              <w:jc w:val="center"/>
              <w:textAlignment w:val="center"/>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产品倒运量月均约</w:t>
            </w:r>
            <w:r>
              <w:rPr>
                <w:rFonts w:hint="eastAsia" w:ascii="宋体" w:hAnsi="宋体" w:eastAsia="宋体" w:cs="宋体"/>
                <w:b w:val="0"/>
                <w:i w:val="0"/>
                <w:snapToGrid/>
                <w:color w:val="000000"/>
                <w:sz w:val="21"/>
                <w:szCs w:val="21"/>
                <w:u w:val="none"/>
                <w:lang w:val="en-US" w:eastAsia="zh-CN"/>
              </w:rPr>
              <w:t>3</w:t>
            </w:r>
            <w:r>
              <w:rPr>
                <w:rFonts w:hint="eastAsia" w:ascii="宋体" w:hAnsi="宋体" w:cs="宋体"/>
                <w:b w:val="0"/>
                <w:i w:val="0"/>
                <w:snapToGrid/>
                <w:color w:val="000000"/>
                <w:sz w:val="21"/>
                <w:szCs w:val="21"/>
                <w:u w:val="none"/>
                <w:lang w:val="en-US" w:eastAsia="zh-CN"/>
              </w:rPr>
              <w:t>.5</w:t>
            </w:r>
            <w:r>
              <w:rPr>
                <w:rFonts w:hint="eastAsia" w:ascii="宋体" w:hAnsi="宋体" w:eastAsia="宋体" w:cs="宋体"/>
                <w:b w:val="0"/>
                <w:i w:val="0"/>
                <w:snapToGrid/>
                <w:color w:val="000000"/>
                <w:sz w:val="21"/>
                <w:szCs w:val="21"/>
                <w:u w:val="none"/>
                <w:lang w:val="en-US" w:eastAsia="zh-CN"/>
              </w:rPr>
              <w:t>万吨</w:t>
            </w:r>
          </w:p>
        </w:tc>
        <w:tc>
          <w:tcPr>
            <w:tcW w:w="1119"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c>
          <w:tcPr>
            <w:tcW w:w="790" w:type="dxa"/>
            <w:vMerge w:val="continue"/>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70"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p>
        </w:tc>
        <w:tc>
          <w:tcPr>
            <w:tcW w:w="7917" w:type="dxa"/>
            <w:gridSpan w:val="4"/>
            <w:noWrap w:val="0"/>
            <w:vAlign w:val="center"/>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900"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c>
          <w:tcPr>
            <w:tcW w:w="790" w:type="dxa"/>
            <w:vMerge w:val="continue"/>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7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65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临时用车</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195型以上挖掘机配镐头</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结算费用=使用小时*单价    约40小时/月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26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195型以上 挖掘机</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    约475小时/月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26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70型配风镐头挖掘机</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    约200小时/月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6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70型挖掘机</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    约345小时/月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6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微型挖机（1.5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-2.5吨）</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约10小时/月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sz w:val="21"/>
                <w:szCs w:val="21"/>
                <w:vertAlign w:val="baseline"/>
                <w:lang w:val="en-US" w:eastAsia="zh-CN"/>
              </w:rPr>
            </w:pPr>
          </w:p>
        </w:tc>
        <w:tc>
          <w:tcPr>
            <w:tcW w:w="7917"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cs="宋体"/>
                <w:sz w:val="21"/>
                <w:szCs w:val="21"/>
                <w:vertAlign w:val="baseline"/>
                <w:lang w:val="en-US" w:eastAsia="zh-CN"/>
              </w:rPr>
              <w:t>4</w:t>
            </w: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炼铁部白灰工部原料打堆、石灰石筛下物装车及临时性项目作业</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50型装载机（1部，配备加长臂）</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结算费用=当月白灰产量*单价    约2.7万吨</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cs="宋体"/>
                <w:sz w:val="21"/>
                <w:szCs w:val="21"/>
                <w:vertAlign w:val="baseline"/>
                <w:lang w:val="en-US" w:eastAsia="zh-CN"/>
              </w:rPr>
              <w:t>5</w:t>
            </w: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炼铁部铸铁区域作业、协助高炉供料作业及其他临时作业用车</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50型装载机（1部，配备加长臂）</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结算费用=当月铁水产量*单价  约23.5万吨</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kern w:val="2"/>
                <w:sz w:val="21"/>
                <w:szCs w:val="21"/>
                <w:vertAlign w:val="baseline"/>
                <w:lang w:val="en-US" w:eastAsia="zh-CN"/>
              </w:rPr>
            </w:pPr>
            <w:r>
              <w:rPr>
                <w:rFonts w:hint="eastAsia" w:ascii="宋体" w:hAnsi="宋体" w:cs="宋体"/>
                <w:sz w:val="21"/>
                <w:szCs w:val="21"/>
                <w:vertAlign w:val="baseline"/>
                <w:lang w:val="en-US" w:eastAsia="zh-CN"/>
              </w:rPr>
              <w:t>6</w:t>
            </w: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炼铁部</w:t>
            </w:r>
            <w:r>
              <w:rPr>
                <w:rFonts w:hint="eastAsia" w:ascii="宋体" w:hAnsi="宋体" w:cs="宋体"/>
                <w:sz w:val="21"/>
                <w:szCs w:val="21"/>
                <w:vertAlign w:val="baseline"/>
                <w:lang w:val="en-US" w:eastAsia="zh-CN"/>
              </w:rPr>
              <w:t>原燃料供料、积料清理</w:t>
            </w:r>
            <w:r>
              <w:rPr>
                <w:rFonts w:hint="eastAsia" w:ascii="宋体" w:hAnsi="宋体" w:eastAsia="宋体" w:cs="宋体"/>
                <w:sz w:val="21"/>
                <w:szCs w:val="21"/>
                <w:vertAlign w:val="baseline"/>
                <w:lang w:val="en-US" w:eastAsia="zh-CN"/>
              </w:rPr>
              <w:t>及临时作业用车</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50型装载机</w:t>
            </w:r>
            <w:r>
              <w:rPr>
                <w:rFonts w:hint="eastAsia" w:ascii="宋体" w:hAnsi="宋体" w:cs="宋体"/>
                <w:sz w:val="21"/>
                <w:szCs w:val="21"/>
                <w:vertAlign w:val="baseline"/>
                <w:lang w:val="en-US" w:eastAsia="zh-CN"/>
              </w:rPr>
              <w:t>白班2台，夜班1台</w:t>
            </w:r>
            <w:r>
              <w:rPr>
                <w:rFonts w:hint="eastAsia" w:ascii="宋体" w:hAnsi="宋体" w:eastAsia="宋体" w:cs="宋体"/>
                <w:sz w:val="21"/>
                <w:szCs w:val="21"/>
                <w:vertAlign w:val="baseline"/>
                <w:lang w:val="en-US" w:eastAsia="zh-CN"/>
              </w:rPr>
              <w:t>）</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结算费用=当月铁水产量*单价  约23.5万吨</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kern w:val="2"/>
                <w:sz w:val="21"/>
                <w:szCs w:val="21"/>
                <w:vertAlign w:val="baseline"/>
                <w:lang w:val="en-US" w:eastAsia="zh-CN"/>
              </w:rPr>
            </w:pPr>
          </w:p>
        </w:tc>
        <w:tc>
          <w:tcPr>
            <w:tcW w:w="26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临时用车</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50型装载机（配备加长臂）</w:t>
            </w:r>
          </w:p>
        </w:tc>
        <w:tc>
          <w:tcPr>
            <w:tcW w:w="2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    约10小时/月</w:t>
            </w:r>
          </w:p>
        </w:tc>
        <w:tc>
          <w:tcPr>
            <w:tcW w:w="1119"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元/小时</w:t>
            </w:r>
          </w:p>
        </w:tc>
        <w:tc>
          <w:tcPr>
            <w:tcW w:w="900"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c>
          <w:tcPr>
            <w:tcW w:w="790"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sz w:val="21"/>
                <w:szCs w:val="21"/>
                <w:vertAlign w:val="baseline"/>
                <w:lang w:val="en-US" w:eastAsia="zh-CN"/>
              </w:rPr>
            </w:pPr>
          </w:p>
        </w:tc>
        <w:tc>
          <w:tcPr>
            <w:tcW w:w="7917" w:type="dxa"/>
            <w:gridSpan w:val="4"/>
            <w:noWrap w:val="0"/>
            <w:vAlign w:val="center"/>
          </w:tcPr>
          <w:p>
            <w:pPr>
              <w:spacing w:line="240" w:lineRule="auto"/>
              <w:jc w:val="right"/>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900" w:type="dxa"/>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790" w:type="dxa"/>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7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2657" w:type="dxa"/>
            <w:vMerge w:val="restart"/>
            <w:noWrap w:val="0"/>
            <w:vAlign w:val="center"/>
          </w:tcPr>
          <w:p>
            <w:pPr>
              <w:spacing w:line="240" w:lineRule="auto"/>
              <w:ind w:firstLine="420" w:firstLineChars="200"/>
              <w:jc w:val="center"/>
              <w:rPr>
                <w:rFonts w:hint="eastAsia" w:ascii="宋体" w:hAnsi="宋体" w:eastAsia="宋体" w:cs="宋体"/>
                <w:kern w:val="2"/>
                <w:sz w:val="21"/>
                <w:szCs w:val="21"/>
                <w:vertAlign w:val="baseline"/>
                <w:lang w:val="en-US" w:eastAsia="zh-CN"/>
              </w:rPr>
            </w:pPr>
            <w:r>
              <w:rPr>
                <w:rFonts w:hint="eastAsia" w:ascii="宋体" w:hAnsi="宋体" w:eastAsia="宋体" w:cs="宋体"/>
                <w:b w:val="0"/>
                <w:i w:val="0"/>
                <w:color w:val="000000"/>
                <w:sz w:val="21"/>
                <w:szCs w:val="21"/>
                <w:lang w:val="en-US" w:eastAsia="zh-CN"/>
              </w:rPr>
              <w:t>钢渣及其磁选产品（精粉、粒子钢、片钢）及尾渣装车倒运、场地清理；转炉炉坑钢渣清理、渣场钢渣及辅料装车、中包垃圾清理及零星工作。</w:t>
            </w:r>
          </w:p>
        </w:tc>
        <w:tc>
          <w:tcPr>
            <w:tcW w:w="1631" w:type="dxa"/>
            <w:vMerge w:val="restart"/>
            <w:noWrap w:val="0"/>
            <w:vAlign w:val="center"/>
          </w:tcPr>
          <w:p>
            <w:pPr>
              <w:kinsoku/>
              <w:autoSpaceDE/>
              <w:autoSpaceDN w:val="0"/>
              <w:spacing w:line="240" w:lineRule="auto"/>
              <w:jc w:val="center"/>
              <w:textAlignment w:val="center"/>
              <w:rPr>
                <w:rFonts w:hint="eastAsia" w:ascii="宋体" w:hAnsi="宋体" w:eastAsia="宋体" w:cs="宋体"/>
                <w:color w:val="auto"/>
                <w:kern w:val="2"/>
                <w:sz w:val="21"/>
                <w:szCs w:val="21"/>
                <w:vertAlign w:val="baseline"/>
                <w:lang w:val="en-US" w:eastAsia="zh-CN"/>
              </w:rPr>
            </w:pPr>
            <w:r>
              <w:rPr>
                <w:rFonts w:hint="eastAsia" w:ascii="宋体" w:hAnsi="宋体" w:eastAsia="宋体" w:cs="宋体"/>
                <w:b w:val="0"/>
                <w:i w:val="0"/>
                <w:snapToGrid/>
                <w:color w:val="auto"/>
                <w:sz w:val="21"/>
                <w:szCs w:val="21"/>
                <w:u w:val="none"/>
                <w:lang w:val="en-US" w:eastAsia="zh-CN"/>
              </w:rPr>
              <w:t>2</w:t>
            </w:r>
            <w:r>
              <w:rPr>
                <w:rFonts w:hint="eastAsia" w:ascii="宋体" w:hAnsi="宋体" w:eastAsia="宋体" w:cs="宋体"/>
                <w:b w:val="0"/>
                <w:i w:val="0"/>
                <w:snapToGrid/>
                <w:color w:val="auto"/>
                <w:sz w:val="21"/>
                <w:szCs w:val="21"/>
                <w:u w:val="none"/>
                <w:lang w:eastAsia="zh-CN"/>
              </w:rPr>
              <w:t>台自卸车（</w:t>
            </w:r>
            <w:r>
              <w:rPr>
                <w:rFonts w:hint="eastAsia" w:ascii="宋体" w:hAnsi="宋体" w:eastAsia="宋体" w:cs="宋体"/>
                <w:b w:val="0"/>
                <w:i w:val="0"/>
                <w:snapToGrid/>
                <w:color w:val="auto"/>
                <w:sz w:val="21"/>
                <w:szCs w:val="21"/>
                <w:u w:val="none"/>
                <w:lang w:val="en-US" w:eastAsia="zh-CN"/>
              </w:rPr>
              <w:t>24小时作业</w:t>
            </w:r>
            <w:r>
              <w:rPr>
                <w:rFonts w:hint="eastAsia" w:ascii="宋体" w:hAnsi="宋体" w:eastAsia="宋体" w:cs="宋体"/>
                <w:b w:val="0"/>
                <w:i w:val="0"/>
                <w:snapToGrid/>
                <w:color w:val="auto"/>
                <w:sz w:val="21"/>
                <w:szCs w:val="21"/>
                <w:u w:val="none"/>
                <w:lang w:eastAsia="zh-CN"/>
              </w:rPr>
              <w:t>），</w:t>
            </w:r>
            <w:r>
              <w:rPr>
                <w:rFonts w:hint="eastAsia" w:ascii="宋体" w:hAnsi="宋体" w:eastAsia="宋体" w:cs="宋体"/>
                <w:b w:val="0"/>
                <w:i w:val="0"/>
                <w:snapToGrid/>
                <w:color w:val="auto"/>
                <w:sz w:val="21"/>
                <w:szCs w:val="21"/>
                <w:u w:val="none"/>
                <w:lang w:val="en-US" w:eastAsia="zh-CN"/>
              </w:rPr>
              <w:t>3</w:t>
            </w:r>
            <w:r>
              <w:rPr>
                <w:rFonts w:hint="eastAsia" w:ascii="宋体" w:hAnsi="宋体" w:eastAsia="宋体" w:cs="宋体"/>
                <w:b w:val="0"/>
                <w:i w:val="0"/>
                <w:snapToGrid/>
                <w:color w:val="auto"/>
                <w:sz w:val="21"/>
                <w:szCs w:val="21"/>
                <w:u w:val="none"/>
                <w:lang w:eastAsia="zh-CN"/>
              </w:rPr>
              <w:t>台50型装载机（棒磨车间</w:t>
            </w:r>
            <w:r>
              <w:rPr>
                <w:rFonts w:hint="eastAsia" w:ascii="宋体" w:hAnsi="宋体" w:eastAsia="宋体" w:cs="宋体"/>
                <w:b w:val="0"/>
                <w:i w:val="0"/>
                <w:snapToGrid/>
                <w:color w:val="auto"/>
                <w:sz w:val="21"/>
                <w:szCs w:val="21"/>
                <w:u w:val="none"/>
                <w:lang w:val="en-US" w:eastAsia="zh-CN"/>
              </w:rPr>
              <w:t>1</w:t>
            </w:r>
            <w:r>
              <w:rPr>
                <w:rFonts w:hint="eastAsia" w:ascii="宋体" w:hAnsi="宋体" w:eastAsia="宋体" w:cs="宋体"/>
                <w:b w:val="0"/>
                <w:i w:val="0"/>
                <w:snapToGrid/>
                <w:color w:val="auto"/>
                <w:sz w:val="21"/>
                <w:szCs w:val="21"/>
                <w:u w:val="none"/>
                <w:lang w:eastAsia="zh-CN"/>
              </w:rPr>
              <w:t>台，24小时作业；炼钢车间2台，车轮需要装防滑链，1台24小时作业，1台每天12小时）</w:t>
            </w:r>
          </w:p>
        </w:tc>
        <w:tc>
          <w:tcPr>
            <w:tcW w:w="2510" w:type="dxa"/>
            <w:noWrap w:val="0"/>
            <w:vAlign w:val="center"/>
          </w:tcPr>
          <w:p>
            <w:pPr>
              <w:spacing w:line="240" w:lineRule="auto"/>
              <w:jc w:val="center"/>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费用=当月钢产量*单价</w:t>
            </w:r>
          </w:p>
          <w:p>
            <w:pPr>
              <w:spacing w:line="240" w:lineRule="auto"/>
              <w:jc w:val="center"/>
              <w:rPr>
                <w:rFonts w:hint="eastAsia" w:ascii="宋体" w:hAnsi="宋体" w:eastAsia="宋体" w:cs="宋体"/>
                <w:b w:val="0"/>
                <w:i w:val="0"/>
                <w:color w:val="auto"/>
                <w:kern w:val="2"/>
                <w:sz w:val="21"/>
                <w:szCs w:val="21"/>
                <w:lang w:val="en-US" w:eastAsia="zh-CN"/>
              </w:rPr>
            </w:pPr>
            <w:r>
              <w:rPr>
                <w:rFonts w:hint="eastAsia" w:ascii="宋体" w:hAnsi="宋体" w:eastAsia="宋体" w:cs="宋体"/>
                <w:b w:val="0"/>
                <w:i w:val="0"/>
                <w:color w:val="auto"/>
                <w:sz w:val="21"/>
                <w:szCs w:val="21"/>
                <w:highlight w:val="none"/>
                <w:lang w:eastAsia="zh-CN"/>
              </w:rPr>
              <w:t>钢产量月均约</w:t>
            </w:r>
            <w:r>
              <w:rPr>
                <w:rFonts w:hint="eastAsia" w:ascii="宋体" w:hAnsi="宋体" w:eastAsia="宋体" w:cs="宋体"/>
                <w:b w:val="0"/>
                <w:i w:val="0"/>
                <w:color w:val="auto"/>
                <w:sz w:val="21"/>
                <w:szCs w:val="21"/>
                <w:highlight w:val="none"/>
                <w:lang w:val="en-US" w:eastAsia="zh-CN"/>
              </w:rPr>
              <w:t>25.2万吨</w:t>
            </w:r>
          </w:p>
        </w:tc>
        <w:tc>
          <w:tcPr>
            <w:tcW w:w="1119" w:type="dxa"/>
            <w:noWrap w:val="0"/>
            <w:vAlign w:val="center"/>
          </w:tcPr>
          <w:p>
            <w:pPr>
              <w:spacing w:line="240" w:lineRule="auto"/>
              <w:jc w:val="center"/>
              <w:rPr>
                <w:rFonts w:hint="eastAsia" w:ascii="宋体" w:hAnsi="宋体" w:eastAsia="宋体" w:cs="宋体"/>
                <w:color w:val="auto"/>
                <w:kern w:val="2"/>
                <w:sz w:val="21"/>
                <w:szCs w:val="21"/>
                <w:vertAlign w:val="baseline"/>
                <w:lang w:val="en-US" w:eastAsia="zh-CN"/>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元/吨</w:t>
            </w:r>
          </w:p>
        </w:tc>
        <w:tc>
          <w:tcPr>
            <w:tcW w:w="900" w:type="dxa"/>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790" w:type="dxa"/>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7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65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16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510" w:type="dxa"/>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i w:val="0"/>
                <w:color w:val="auto"/>
                <w:sz w:val="21"/>
                <w:szCs w:val="21"/>
                <w:highlight w:val="none"/>
              </w:rPr>
            </w:pPr>
            <w:r>
              <w:rPr>
                <w:rFonts w:hint="eastAsia" w:ascii="宋体" w:hAnsi="宋体" w:eastAsia="宋体" w:cs="宋体"/>
                <w:b w:val="0"/>
                <w:i w:val="0"/>
                <w:color w:val="auto"/>
                <w:sz w:val="21"/>
                <w:szCs w:val="21"/>
                <w:highlight w:val="none"/>
              </w:rPr>
              <w:t>费用=</w:t>
            </w:r>
            <w:r>
              <w:rPr>
                <w:rFonts w:hint="eastAsia" w:ascii="宋体" w:hAnsi="宋体" w:eastAsia="宋体" w:cs="宋体"/>
                <w:b w:val="0"/>
                <w:i w:val="0"/>
                <w:color w:val="auto"/>
                <w:sz w:val="21"/>
                <w:szCs w:val="21"/>
                <w:highlight w:val="none"/>
                <w:lang w:eastAsia="zh-CN"/>
              </w:rPr>
              <w:t>当月产品</w:t>
            </w:r>
            <w:r>
              <w:rPr>
                <w:rFonts w:hint="eastAsia" w:ascii="宋体" w:hAnsi="宋体" w:eastAsia="宋体" w:cs="宋体"/>
                <w:b w:val="0"/>
                <w:i w:val="0"/>
                <w:color w:val="auto"/>
                <w:sz w:val="21"/>
                <w:szCs w:val="21"/>
                <w:highlight w:val="none"/>
              </w:rPr>
              <w:t>倒运量*单价</w:t>
            </w:r>
          </w:p>
          <w:p>
            <w:p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eastAsia="zh-CN"/>
              </w:rPr>
              <w:t>产品倒运量月均约</w:t>
            </w:r>
            <w:r>
              <w:rPr>
                <w:rFonts w:hint="eastAsia" w:ascii="宋体" w:hAnsi="宋体" w:eastAsia="宋体" w:cs="宋体"/>
                <w:b w:val="0"/>
                <w:bCs w:val="0"/>
                <w:color w:val="auto"/>
                <w:sz w:val="21"/>
                <w:szCs w:val="21"/>
                <w:highlight w:val="none"/>
                <w:vertAlign w:val="baseline"/>
                <w:lang w:val="en-US" w:eastAsia="zh-CN"/>
              </w:rPr>
              <w:t>3</w:t>
            </w:r>
            <w:r>
              <w:rPr>
                <w:rFonts w:hint="eastAsia" w:ascii="宋体" w:hAnsi="宋体" w:cs="宋体"/>
                <w:b w:val="0"/>
                <w:bCs w:val="0"/>
                <w:color w:val="auto"/>
                <w:sz w:val="21"/>
                <w:szCs w:val="21"/>
                <w:highlight w:val="none"/>
                <w:vertAlign w:val="baseline"/>
                <w:lang w:val="en-US" w:eastAsia="zh-CN"/>
              </w:rPr>
              <w:t>.5</w:t>
            </w:r>
            <w:r>
              <w:rPr>
                <w:rFonts w:hint="eastAsia" w:ascii="宋体" w:hAnsi="宋体" w:eastAsia="宋体" w:cs="宋体"/>
                <w:b w:val="0"/>
                <w:bCs w:val="0"/>
                <w:color w:val="auto"/>
                <w:sz w:val="21"/>
                <w:szCs w:val="21"/>
                <w:highlight w:val="none"/>
                <w:vertAlign w:val="baseline"/>
                <w:lang w:val="en-US" w:eastAsia="zh-CN"/>
              </w:rPr>
              <w:t>万吨</w:t>
            </w:r>
          </w:p>
          <w:p>
            <w:p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ascii="Helvetica" w:hAnsi="Helvetica" w:eastAsia="Helvetica" w:cs="Helvetica"/>
                <w:i w:val="0"/>
                <w:caps w:val="0"/>
                <w:color w:val="000000"/>
                <w:spacing w:val="0"/>
                <w:sz w:val="21"/>
                <w:szCs w:val="21"/>
                <w:shd w:val="clear" w:color="auto" w:fill="FFFFFF"/>
              </w:rPr>
              <w:t>产品（尾渣、精粉、粒子钢、片钢）运量依据计量日报</w:t>
            </w:r>
          </w:p>
        </w:tc>
        <w:tc>
          <w:tcPr>
            <w:tcW w:w="1119" w:type="dxa"/>
            <w:noWrap w:val="0"/>
            <w:vAlign w:val="center"/>
          </w:tcPr>
          <w:p>
            <w:pPr>
              <w:spacing w:line="240" w:lineRule="auto"/>
              <w:jc w:val="center"/>
              <w:rPr>
                <w:rFonts w:hint="eastAsia" w:ascii="宋体" w:hAnsi="宋体" w:eastAsia="宋体" w:cs="宋体"/>
                <w:color w:val="auto"/>
                <w:kern w:val="2"/>
                <w:sz w:val="21"/>
                <w:szCs w:val="21"/>
                <w:vertAlign w:val="baseline"/>
                <w:lang w:val="en-US" w:eastAsia="zh-CN"/>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元/吨</w:t>
            </w:r>
          </w:p>
        </w:tc>
        <w:tc>
          <w:tcPr>
            <w:tcW w:w="900" w:type="dxa"/>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790" w:type="dxa"/>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7917" w:type="dxa"/>
            <w:gridSpan w:val="4"/>
            <w:noWrap w:val="0"/>
            <w:vAlign w:val="center"/>
          </w:tcPr>
          <w:p>
            <w:pPr>
              <w:spacing w:line="240" w:lineRule="auto"/>
              <w:jc w:val="right"/>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900" w:type="dxa"/>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790" w:type="dxa"/>
            <w:noWrap w:val="0"/>
            <w:vAlign w:val="center"/>
          </w:tcPr>
          <w:p>
            <w:pPr>
              <w:spacing w:line="240" w:lineRule="auto"/>
              <w:jc w:val="center"/>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center"/>
        <w:textAlignment w:val="auto"/>
        <w:outlineLvl w:val="9"/>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center"/>
        <w:textAlignment w:val="auto"/>
        <w:outlineLvl w:val="9"/>
        <w:rPr>
          <w:rFonts w:hint="eastAsia" w:ascii="宋体" w:hAnsi="宋体"/>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报价含税，税率：</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25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C28711D"/>
    <w:rsid w:val="1F415A0F"/>
    <w:rsid w:val="1FC61767"/>
    <w:rsid w:val="21BB15C3"/>
    <w:rsid w:val="234F5E22"/>
    <w:rsid w:val="23F27268"/>
    <w:rsid w:val="252D19D6"/>
    <w:rsid w:val="25A87FB8"/>
    <w:rsid w:val="25F13BFC"/>
    <w:rsid w:val="2D230D73"/>
    <w:rsid w:val="2E34761D"/>
    <w:rsid w:val="30033579"/>
    <w:rsid w:val="323F2693"/>
    <w:rsid w:val="34FF5DC8"/>
    <w:rsid w:val="390D4485"/>
    <w:rsid w:val="3A4B4F63"/>
    <w:rsid w:val="3F114200"/>
    <w:rsid w:val="41417945"/>
    <w:rsid w:val="41DB42F4"/>
    <w:rsid w:val="454E4D64"/>
    <w:rsid w:val="49260E52"/>
    <w:rsid w:val="496030D7"/>
    <w:rsid w:val="4C62699D"/>
    <w:rsid w:val="513C3EF8"/>
    <w:rsid w:val="556B3A6A"/>
    <w:rsid w:val="589B3C10"/>
    <w:rsid w:val="5B2D6E0C"/>
    <w:rsid w:val="5DA113C7"/>
    <w:rsid w:val="5DA500D7"/>
    <w:rsid w:val="603E0EA5"/>
    <w:rsid w:val="607D1710"/>
    <w:rsid w:val="62CA5CF7"/>
    <w:rsid w:val="69C526AD"/>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2020-11-25T00:56:08Z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