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2022年公司火灾自动报警维保检测项目</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10</w:t>
      </w:r>
      <w:r>
        <w:rPr>
          <w:rFonts w:ascii="宋体" w:hAnsi="宋体"/>
          <w:color w:val="000000"/>
          <w:sz w:val="24"/>
          <w:szCs w:val="24"/>
        </w:rPr>
        <w:t>月</w:t>
      </w:r>
      <w:r>
        <w:rPr>
          <w:rFonts w:hint="eastAsia" w:ascii="宋体" w:hAnsi="宋体"/>
          <w:color w:val="000000"/>
          <w:sz w:val="24"/>
          <w:szCs w:val="24"/>
          <w:lang w:val="en-US" w:eastAsia="zh-CN"/>
        </w:rPr>
        <w:t>13</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XZGB</w:t>
      </w:r>
      <w:r>
        <w:rPr>
          <w:rFonts w:hint="eastAsia" w:ascii="宋体" w:hAnsi="宋体" w:cs="宋体"/>
          <w:sz w:val="24"/>
          <w:szCs w:val="24"/>
        </w:rPr>
        <w:t>20</w:t>
      </w:r>
      <w:r>
        <w:rPr>
          <w:rFonts w:hint="eastAsia" w:ascii="宋体" w:hAnsi="宋体" w:cs="宋体"/>
          <w:sz w:val="24"/>
          <w:szCs w:val="24"/>
          <w:lang w:val="en-US" w:eastAsia="zh-CN"/>
        </w:rPr>
        <w:t>211010HZZDBJWBJC</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仿宋_GB2312" w:hAnsi="仿宋_GB2312" w:eastAsia="仿宋_GB2312" w:cs="仿宋_GB2312"/>
          <w:color w:val="FF0000"/>
          <w:sz w:val="24"/>
          <w:szCs w:val="22"/>
          <w:u w:val="none"/>
          <w:lang w:eastAsia="zh-CN"/>
        </w:rPr>
        <w:t>2022年公司火灾自动报警维保检测项目</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13</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30</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w:t>
      </w:r>
      <w:r>
        <w:rPr>
          <w:rFonts w:hint="eastAsia" w:ascii="宋体" w:hAnsi="宋体" w:eastAsiaTheme="minorEastAsia" w:cstheme="minorBidi"/>
          <w:bCs/>
          <w:color w:val="FF0000"/>
          <w:sz w:val="24"/>
          <w:szCs w:val="24"/>
          <w:lang w:val="en-US" w:eastAsia="zh-CN"/>
        </w:rPr>
        <w:t>6</w:t>
      </w:r>
      <w:r>
        <w:rPr>
          <w:rFonts w:hint="eastAsia" w:ascii="宋体" w:hAnsi="宋体" w:eastAsiaTheme="minorEastAsia" w:cstheme="minorBidi"/>
          <w:bCs/>
          <w:color w:val="FF0000"/>
          <w:sz w:val="24"/>
          <w:szCs w:val="24"/>
        </w:rPr>
        <w:t>:</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4</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仿宋_GB2312" w:hAnsi="仿宋_GB2312" w:eastAsia="仿宋_GB2312" w:cs="仿宋_GB2312"/>
          <w:color w:val="FF0000"/>
          <w:sz w:val="24"/>
          <w:szCs w:val="22"/>
          <w:u w:val="none"/>
          <w:lang w:eastAsia="zh-CN"/>
        </w:rPr>
        <w:t>2022年公司火灾自动报警维保检测项目</w:t>
      </w:r>
      <w:r>
        <w:rPr>
          <w:rFonts w:hint="eastAsia" w:ascii="仿宋_GB2312" w:hAnsi="仿宋_GB2312" w:eastAsia="仿宋_GB2312" w:cs="仿宋_GB2312"/>
          <w:color w:val="FF0000"/>
          <w:sz w:val="24"/>
          <w:szCs w:val="22"/>
          <w:u w:val="none"/>
        </w:rPr>
        <w:t xml:space="preserve"> </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ind w:left="638" w:leftChars="304"/>
        <w:rPr>
          <w:rFonts w:hint="eastAsia" w:ascii="宋体" w:hAnsi="宋体"/>
          <w:sz w:val="24"/>
          <w:szCs w:val="24"/>
        </w:rPr>
      </w:pPr>
      <w:r>
        <w:rPr>
          <w:rFonts w:hint="eastAsia" w:ascii="宋体" w:hAnsi="宋体"/>
          <w:sz w:val="24"/>
          <w:szCs w:val="24"/>
        </w:rPr>
        <w:t>项目业务内容</w:t>
      </w:r>
      <w:r>
        <w:rPr>
          <w:rFonts w:hint="eastAsia" w:ascii="宋体" w:hAnsi="宋体"/>
          <w:sz w:val="24"/>
          <w:szCs w:val="24"/>
          <w:lang w:eastAsia="zh-CN"/>
        </w:rPr>
        <w:t>及概况</w:t>
      </w:r>
      <w:r>
        <w:rPr>
          <w:rFonts w:hint="eastAsia" w:ascii="宋体" w:hAnsi="宋体"/>
          <w:sz w:val="24"/>
          <w:szCs w:val="24"/>
        </w:rPr>
        <w:t>:</w:t>
      </w:r>
    </w:p>
    <w:p>
      <w:pPr>
        <w:numPr>
          <w:ilvl w:val="0"/>
          <w:numId w:val="0"/>
        </w:numPr>
        <w:spacing w:line="240" w:lineRule="atLeast"/>
        <w:rPr>
          <w:rFonts w:hint="eastAsia"/>
          <w:color w:val="auto"/>
          <w:lang w:val="en-US" w:eastAsia="zh-CN"/>
        </w:rPr>
      </w:pPr>
      <w:r>
        <w:rPr>
          <w:rFonts w:hint="eastAsia" w:ascii="仿宋_GB2312" w:hAnsi="仿宋_GB2312" w:eastAsia="仿宋_GB2312" w:cs="仿宋_GB2312"/>
          <w:color w:val="FF0000"/>
          <w:sz w:val="24"/>
          <w:szCs w:val="22"/>
          <w:u w:val="none"/>
          <w:lang w:val="en-US" w:eastAsia="zh-CN"/>
        </w:rPr>
        <w:t xml:space="preserve">     </w:t>
      </w:r>
      <w:r>
        <w:rPr>
          <w:rFonts w:hint="eastAsia" w:ascii="仿宋_GB2312" w:hAnsi="仿宋_GB2312" w:eastAsia="仿宋_GB2312" w:cs="仿宋_GB2312"/>
          <w:color w:val="FF0000"/>
          <w:sz w:val="24"/>
          <w:szCs w:val="22"/>
          <w:u w:val="none"/>
          <w:lang w:eastAsia="zh-CN"/>
        </w:rPr>
        <w:t>2022年公司火灾自动报警维保检测项目：</w:t>
      </w:r>
      <w:r>
        <w:rPr>
          <w:rFonts w:hint="default" w:ascii="仿宋_GB2312" w:hAnsi="仿宋_GB2312" w:eastAsia="仿宋_GB2312" w:cs="仿宋_GB2312"/>
          <w:color w:val="000000"/>
          <w:sz w:val="24"/>
          <w:szCs w:val="24"/>
          <w:lang w:val="en-US" w:eastAsia="zh-CN"/>
        </w:rPr>
        <w:t>对芜湖新兴铸管（包含公司办公楼火灾自动报警、副楼气体自动灭火系统）厂区各部门火灾报警器、自动灭火系统进行维护保养，更换必要设备设施，</w:t>
      </w:r>
      <w:r>
        <w:rPr>
          <w:rFonts w:hint="eastAsia" w:ascii="仿宋_GB2312" w:hAnsi="仿宋_GB2312" w:eastAsia="仿宋_GB2312" w:cs="仿宋_GB2312"/>
          <w:color w:val="000000"/>
          <w:sz w:val="24"/>
          <w:szCs w:val="24"/>
          <w:lang w:val="en-US" w:eastAsia="zh-CN"/>
        </w:rPr>
        <w:t>本次有效期三年（2021年11月-2024年12月）。</w:t>
      </w:r>
    </w:p>
    <w:p>
      <w:pPr>
        <w:pStyle w:val="8"/>
        <w:shd w:val="clear" w:color="auto" w:fill="FFFFFF"/>
        <w:ind w:firstLine="480" w:firstLineChars="200"/>
        <w:rPr>
          <w:b w:val="0"/>
          <w:bCs w:val="0"/>
          <w:color w:val="FF0000"/>
          <w:szCs w:val="24"/>
        </w:rPr>
      </w:pPr>
      <w:r>
        <w:rPr>
          <w:rFonts w:hint="eastAsia"/>
          <w:b w:val="0"/>
          <w:bCs w:val="0"/>
          <w:szCs w:val="24"/>
        </w:rPr>
        <w:t>联系人及电话：</w:t>
      </w:r>
    </w:p>
    <w:p>
      <w:pPr>
        <w:ind w:firstLine="600" w:firstLineChars="250"/>
        <w:rPr>
          <w:rFonts w:hint="default" w:ascii="宋体" w:hAnsi="宋体"/>
          <w:b w:val="0"/>
          <w:bCs w:val="0"/>
          <w:sz w:val="24"/>
          <w:szCs w:val="24"/>
          <w:lang w:val="en-US" w:eastAsia="zh-CN"/>
        </w:rPr>
      </w:pPr>
      <w:r>
        <w:rPr>
          <w:rFonts w:hint="eastAsia" w:ascii="宋体" w:hAnsi="宋体"/>
          <w:b w:val="0"/>
          <w:bCs w:val="0"/>
          <w:sz w:val="24"/>
          <w:szCs w:val="24"/>
        </w:rPr>
        <w:t xml:space="preserve">招标办：     </w:t>
      </w:r>
      <w:r>
        <w:rPr>
          <w:rFonts w:hint="eastAsia" w:ascii="宋体" w:hAnsi="宋体"/>
          <w:b w:val="0"/>
          <w:bCs w:val="0"/>
          <w:sz w:val="24"/>
          <w:szCs w:val="24"/>
          <w:lang w:val="en-US" w:eastAsia="zh-CN"/>
        </w:rPr>
        <w:t xml:space="preserve">  </w:t>
      </w:r>
      <w:r>
        <w:rPr>
          <w:rFonts w:hint="eastAsia" w:ascii="宋体" w:hAnsi="宋体"/>
          <w:b w:val="0"/>
          <w:bCs w:val="0"/>
          <w:sz w:val="24"/>
          <w:szCs w:val="24"/>
        </w:rPr>
        <w:t xml:space="preserve"> </w:t>
      </w:r>
      <w:r>
        <w:rPr>
          <w:rFonts w:hint="eastAsia" w:ascii="宋体" w:hAnsi="宋体"/>
          <w:b w:val="0"/>
          <w:bCs w:val="0"/>
          <w:sz w:val="24"/>
          <w:szCs w:val="24"/>
          <w:lang w:eastAsia="zh-CN"/>
        </w:rPr>
        <w:t>谢金林</w:t>
      </w:r>
      <w:r>
        <w:rPr>
          <w:rFonts w:hint="eastAsia" w:ascii="宋体" w:hAnsi="宋体"/>
          <w:b w:val="0"/>
          <w:bCs w:val="0"/>
          <w:sz w:val="24"/>
          <w:szCs w:val="24"/>
        </w:rPr>
        <w:t xml:space="preserve">   18055375917</w:t>
      </w:r>
    </w:p>
    <w:p>
      <w:pPr>
        <w:ind w:firstLine="600" w:firstLineChars="250"/>
        <w:rPr>
          <w:rFonts w:hint="default" w:ascii="宋体" w:hAnsi="宋体"/>
          <w:b w:val="0"/>
          <w:bCs w:val="0"/>
          <w:sz w:val="24"/>
          <w:szCs w:val="24"/>
          <w:lang w:val="en-US" w:eastAsia="zh-CN"/>
        </w:rPr>
      </w:pPr>
      <w:r>
        <w:rPr>
          <w:rFonts w:hint="eastAsia" w:ascii="宋体" w:hAnsi="宋体"/>
          <w:b w:val="0"/>
          <w:bCs w:val="0"/>
          <w:sz w:val="24"/>
          <w:szCs w:val="24"/>
        </w:rPr>
        <w:t xml:space="preserve">生产管理部：    </w:t>
      </w:r>
      <w:r>
        <w:rPr>
          <w:rFonts w:hint="eastAsia" w:ascii="宋体" w:hAnsi="宋体"/>
          <w:b w:val="0"/>
          <w:bCs w:val="0"/>
          <w:sz w:val="24"/>
          <w:szCs w:val="24"/>
          <w:lang w:val="en-US" w:eastAsia="zh-CN"/>
        </w:rPr>
        <w:t>许丹青   15255307938</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b w:val="0"/>
          <w:bCs w:val="0"/>
          <w:sz w:val="24"/>
          <w:szCs w:val="24"/>
          <w:lang w:val="en-US" w:eastAsia="zh-CN"/>
        </w:rPr>
      </w:pPr>
      <w:r>
        <w:rPr>
          <w:rFonts w:hint="eastAsia"/>
          <w:b w:val="0"/>
          <w:bCs w:val="0"/>
          <w:sz w:val="24"/>
          <w:szCs w:val="24"/>
          <w:lang w:val="en-US" w:eastAsia="zh-CN"/>
        </w:rPr>
        <w:t xml:space="preserve"> </w:t>
      </w:r>
      <w:r>
        <w:rPr>
          <w:rFonts w:hint="eastAsia" w:ascii="宋体" w:hAnsi="宋体" w:eastAsia="宋体" w:cs="Times New Roman"/>
          <w:b w:val="0"/>
          <w:bCs w:val="0"/>
          <w:kern w:val="2"/>
          <w:sz w:val="24"/>
          <w:szCs w:val="24"/>
          <w:lang w:val="en-US" w:eastAsia="zh-CN" w:bidi="ar-SA"/>
        </w:rPr>
        <w:t xml:space="preserve">  </w:t>
      </w:r>
      <w:r>
        <w:rPr>
          <w:rFonts w:hint="eastAsia" w:cs="Times New Roman"/>
          <w:b w:val="0"/>
          <w:bCs w:val="0"/>
          <w:kern w:val="2"/>
          <w:sz w:val="24"/>
          <w:szCs w:val="24"/>
          <w:lang w:val="en-US" w:eastAsia="zh-CN" w:bidi="ar-SA"/>
        </w:rPr>
        <w:t xml:space="preserve"> </w:t>
      </w:r>
    </w:p>
    <w:p>
      <w:pPr>
        <w:rPr>
          <w:rFonts w:ascii="宋体" w:hAnsi="宋体"/>
          <w:sz w:val="24"/>
          <w:szCs w:val="24"/>
        </w:rPr>
      </w:pPr>
    </w:p>
    <w:p>
      <w:pPr>
        <w:pStyle w:val="2"/>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sz w:val="24"/>
          <w:szCs w:val="24"/>
          <w:lang w:val="en-US" w:eastAsia="zh-CN"/>
        </w:rPr>
      </w:pPr>
      <w:r>
        <w:rPr>
          <w:rFonts w:hint="eastAsia" w:ascii="宋体" w:hAnsi="宋体" w:eastAsia="宋体"/>
          <w:sz w:val="24"/>
          <w:szCs w:val="24"/>
        </w:rPr>
        <w:t>开 户 行：中国工商银行芜湖环城路支行</w:t>
      </w:r>
    </w:p>
    <w:p>
      <w:pPr>
        <w:ind w:firstLine="1680" w:firstLineChars="700"/>
        <w:rPr>
          <w:rFonts w:hint="eastAsia" w:ascii="宋体" w:hAnsi="宋体" w:eastAsia="宋体"/>
          <w:sz w:val="24"/>
          <w:szCs w:val="24"/>
        </w:rPr>
      </w:pPr>
      <w:r>
        <w:rPr>
          <w:rFonts w:hint="eastAsia" w:ascii="宋体" w:hAnsi="宋体" w:eastAsia="宋体"/>
          <w:sz w:val="24"/>
          <w:szCs w:val="24"/>
        </w:rPr>
        <w:t>帐    号：1307023219000109264</w:t>
      </w:r>
    </w:p>
    <w:p>
      <w:pPr>
        <w:ind w:firstLine="1680" w:firstLineChars="700"/>
        <w:rPr>
          <w:rFonts w:hint="eastAsia" w:ascii="宋体" w:hAnsi="宋体" w:eastAsia="宋体"/>
          <w:sz w:val="24"/>
          <w:szCs w:val="24"/>
        </w:rPr>
      </w:pPr>
      <w:r>
        <w:rPr>
          <w:rFonts w:hint="eastAsia" w:ascii="宋体" w:hAnsi="宋体" w:eastAsia="宋体"/>
          <w:sz w:val="24"/>
          <w:szCs w:val="24"/>
        </w:rPr>
        <w:t>电    话：0553-5698</w:t>
      </w:r>
      <w:r>
        <w:rPr>
          <w:rFonts w:hint="eastAsia" w:ascii="宋体" w:hAnsi="宋体"/>
          <w:sz w:val="24"/>
          <w:szCs w:val="24"/>
          <w:lang w:val="en-US" w:eastAsia="zh-CN"/>
        </w:rPr>
        <w:t>553</w:t>
      </w:r>
      <w:r>
        <w:rPr>
          <w:rFonts w:hint="eastAsia" w:ascii="宋体" w:hAnsi="宋体" w:eastAsia="宋体"/>
          <w:sz w:val="24"/>
          <w:szCs w:val="24"/>
        </w:rPr>
        <w:t xml:space="preserve">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邮    编：241002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联 系 人：谢金林            </w:t>
      </w:r>
    </w:p>
    <w:p>
      <w:pPr>
        <w:ind w:firstLine="1680" w:firstLineChars="700"/>
        <w:rPr>
          <w:rFonts w:hint="eastAsia" w:ascii="宋体" w:hAnsi="宋体" w:eastAsia="宋体"/>
          <w:sz w:val="24"/>
          <w:szCs w:val="24"/>
        </w:rPr>
      </w:pPr>
      <w:r>
        <w:rPr>
          <w:rFonts w:hint="eastAsia" w:ascii="宋体" w:hAnsi="宋体" w:eastAsia="宋体"/>
          <w:sz w:val="24"/>
          <w:szCs w:val="24"/>
        </w:rPr>
        <w:t>邮    箱：whxxzg001@qq.com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w:t>
      </w:r>
      <w:r>
        <w:rPr>
          <w:rFonts w:hint="eastAsia" w:ascii="宋体" w:hAnsi="宋体"/>
          <w:b/>
          <w:bCs/>
          <w:color w:val="4F81BD"/>
          <w:sz w:val="22"/>
          <w:szCs w:val="22"/>
          <w:lang w:val="en-US" w:eastAsia="zh-CN"/>
        </w:rPr>
        <w:t>2</w:t>
      </w:r>
      <w:r>
        <w:rPr>
          <w:rFonts w:hint="eastAsia" w:ascii="宋体" w:hAnsi="宋体"/>
          <w:b/>
          <w:bCs/>
          <w:color w:val="4F81BD"/>
          <w:sz w:val="22"/>
          <w:szCs w:val="22"/>
        </w:rPr>
        <w:t>：</w:t>
      </w:r>
      <w:r>
        <w:rPr>
          <w:rFonts w:hint="eastAsia" w:ascii="宋体" w:hAnsi="宋体"/>
          <w:b/>
          <w:bCs/>
          <w:color w:val="4F81BD"/>
          <w:sz w:val="22"/>
          <w:szCs w:val="22"/>
          <w:lang w:eastAsia="zh-CN"/>
        </w:rPr>
        <w:t>报价表</w:t>
      </w:r>
      <w:r>
        <w:rPr>
          <w:rFonts w:hint="eastAsia" w:ascii="宋体" w:hAnsi="宋体"/>
          <w:b/>
          <w:bCs/>
          <w:color w:val="4F81BD"/>
          <w:sz w:val="22"/>
          <w:szCs w:val="22"/>
        </w:rPr>
        <w:t>；</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w:t>
      </w:r>
      <w:r>
        <w:rPr>
          <w:rFonts w:hint="eastAsia" w:ascii="宋体" w:hAnsi="宋体"/>
          <w:b/>
          <w:bCs/>
          <w:color w:val="4F81BD"/>
          <w:sz w:val="22"/>
          <w:szCs w:val="22"/>
          <w:lang w:val="en-US" w:eastAsia="zh-CN"/>
        </w:rPr>
        <w:t>3</w:t>
      </w:r>
      <w:r>
        <w:rPr>
          <w:rFonts w:hint="eastAsia" w:ascii="宋体" w:hAnsi="宋体"/>
          <w:b/>
          <w:bCs/>
          <w:color w:val="4F81BD"/>
          <w:sz w:val="22"/>
          <w:szCs w:val="22"/>
        </w:rPr>
        <w:t>：投标报名申请函；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w:t>
      </w:r>
      <w:r>
        <w:rPr>
          <w:rFonts w:hint="eastAsia" w:ascii="宋体" w:hAnsi="宋体"/>
          <w:b/>
          <w:bCs/>
          <w:color w:val="4F81BD"/>
          <w:sz w:val="22"/>
          <w:szCs w:val="22"/>
          <w:lang w:val="en-US" w:eastAsia="zh-CN"/>
        </w:rPr>
        <w:t>4</w:t>
      </w:r>
      <w:r>
        <w:rPr>
          <w:rFonts w:hint="eastAsia" w:ascii="宋体" w:hAnsi="宋体"/>
          <w:b/>
          <w:bCs/>
          <w:color w:val="4F81BD"/>
          <w:sz w:val="22"/>
          <w:szCs w:val="22"/>
        </w:rPr>
        <w:t>：公平交易承诺函；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w:t>
      </w:r>
      <w:r>
        <w:rPr>
          <w:rFonts w:hint="eastAsia" w:ascii="宋体" w:hAnsi="宋体"/>
          <w:b/>
          <w:bCs/>
          <w:color w:val="4F81BD"/>
          <w:sz w:val="22"/>
          <w:szCs w:val="22"/>
          <w:lang w:val="en-US" w:eastAsia="zh-CN"/>
        </w:rPr>
        <w:t>5</w:t>
      </w:r>
      <w:r>
        <w:rPr>
          <w:rFonts w:hint="eastAsia" w:ascii="宋体" w:hAnsi="宋体"/>
          <w:b/>
          <w:bCs/>
          <w:color w:val="4F81BD"/>
          <w:sz w:val="22"/>
          <w:szCs w:val="22"/>
        </w:rPr>
        <w:t>：法人授权委托书；</w:t>
      </w:r>
    </w:p>
    <w:p>
      <w:pPr>
        <w:tabs>
          <w:tab w:val="left" w:pos="420"/>
          <w:tab w:val="left" w:pos="630"/>
        </w:tabs>
        <w:spacing w:line="300" w:lineRule="auto"/>
        <w:rPr>
          <w:rFonts w:hint="default" w:eastAsia="宋体"/>
          <w:lang w:val="en-US" w:eastAsia="zh-CN"/>
        </w:rPr>
      </w:pPr>
      <w:bookmarkStart w:id="0" w:name="_GoBack"/>
      <w:bookmarkEnd w:id="0"/>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ascii="宋体" w:hAnsi="宋体" w:eastAsia="宋体" w:cs="宋体"/>
          <w:sz w:val="36"/>
        </w:rPr>
      </w:pPr>
    </w:p>
    <w:p>
      <w:pPr>
        <w:pStyle w:val="2"/>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default" w:ascii="宋体" w:hAnsi="宋体" w:eastAsia="宋体" w:cs="宋体"/>
          <w:sz w:val="30"/>
          <w:szCs w:val="30"/>
          <w:lang w:val="en-US" w:eastAsia="zh-CN"/>
        </w:rPr>
      </w:pPr>
      <w:r>
        <w:rPr>
          <w:rFonts w:hint="eastAsia" w:cs="宋体"/>
          <w:sz w:val="30"/>
          <w:szCs w:val="30"/>
          <w:lang w:eastAsia="zh-CN"/>
        </w:rPr>
        <w:t>附件</w:t>
      </w:r>
      <w:r>
        <w:rPr>
          <w:rFonts w:hint="eastAsia" w:cs="宋体"/>
          <w:sz w:val="30"/>
          <w:szCs w:val="30"/>
          <w:lang w:val="en-US" w:eastAsia="zh-CN"/>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肆</w:t>
      </w:r>
      <w:r>
        <w:rPr>
          <w:rFonts w:hint="eastAsia" w:ascii="宋体" w:hAnsi="宋体" w:eastAsia="宋体" w:cs="宋体"/>
          <w:b/>
          <w:bCs w:val="0"/>
          <w:color w:val="FF0000"/>
          <w:sz w:val="24"/>
          <w:szCs w:val="24"/>
          <w:u w:val="single"/>
          <w:lang w:val="en-US" w:eastAsia="zh-CN"/>
        </w:rPr>
        <w:t>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10</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30</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w:t>
      </w:r>
      <w:r>
        <w:rPr>
          <w:rFonts w:hint="eastAsia" w:ascii="宋体" w:hAnsi="宋体" w:eastAsia="宋体"/>
          <w:sz w:val="24"/>
          <w:szCs w:val="24"/>
        </w:rPr>
        <w:t>中国工商银行芜湖环城路支行</w:t>
      </w:r>
    </w:p>
    <w:p>
      <w:pPr>
        <w:ind w:left="638" w:leftChars="304" w:firstLine="480" w:firstLineChars="200"/>
        <w:rPr>
          <w:rFonts w:hint="eastAsia" w:ascii="宋体" w:hAnsi="宋体" w:cs="宋体"/>
          <w:b/>
          <w:bCs w:val="0"/>
          <w:color w:val="FF0000"/>
          <w:sz w:val="24"/>
          <w:szCs w:val="24"/>
          <w:lang w:val="en-US" w:eastAsia="zh-CN"/>
        </w:rPr>
      </w:pPr>
      <w:r>
        <w:rPr>
          <w:rFonts w:hint="eastAsia" w:ascii="宋体" w:hAnsi="宋体" w:eastAsia="宋体" w:cs="宋体"/>
          <w:bCs/>
          <w:sz w:val="24"/>
          <w:szCs w:val="24"/>
        </w:rPr>
        <w:t>帐    号：1307023219000109264</w:t>
      </w:r>
      <w:r>
        <w:rPr>
          <w:rFonts w:hint="eastAsia" w:ascii="宋体" w:hAnsi="宋体" w:cs="宋体"/>
          <w:b/>
          <w:bCs w:val="0"/>
          <w:color w:val="FF0000"/>
          <w:sz w:val="24"/>
          <w:szCs w:val="24"/>
          <w:lang w:val="en-US" w:eastAsia="zh-CN"/>
        </w:rPr>
        <w:t xml:space="preserve"> </w:t>
      </w:r>
    </w:p>
    <w:p>
      <w:pPr>
        <w:spacing w:line="360" w:lineRule="auto"/>
        <w:ind w:left="638" w:leftChars="304" w:firstLine="482" w:firstLineChars="200"/>
        <w:rPr>
          <w:rFonts w:hint="eastAsia" w:ascii="宋体" w:hAnsi="宋体" w:cs="宋体"/>
          <w:b/>
          <w:color w:val="FF0000"/>
          <w:sz w:val="24"/>
          <w:szCs w:val="24"/>
        </w:rPr>
      </w:pPr>
    </w:p>
    <w:p>
      <w:pPr>
        <w:spacing w:line="360" w:lineRule="auto"/>
        <w:ind w:left="638" w:leftChars="304" w:firstLine="482" w:firstLineChars="200"/>
        <w:rPr>
          <w:rFonts w:hint="eastAsia" w:ascii="宋体" w:hAnsi="宋体" w:cs="宋体"/>
          <w:b/>
          <w:color w:val="FF0000"/>
          <w:sz w:val="24"/>
          <w:szCs w:val="24"/>
        </w:rPr>
      </w:pPr>
      <w:r>
        <w:rPr>
          <w:rFonts w:hint="eastAsia" w:ascii="宋体" w:hAnsi="宋体" w:cs="宋体"/>
          <w:b/>
          <w:color w:val="FF0000"/>
          <w:sz w:val="24"/>
          <w:szCs w:val="24"/>
        </w:rPr>
        <w:t>此项目中标单位需缴纳60万元安全保</w:t>
      </w:r>
      <w:r>
        <w:rPr>
          <w:rFonts w:hint="eastAsia" w:ascii="宋体" w:hAnsi="宋体" w:cs="宋体"/>
          <w:b/>
          <w:color w:val="FF0000"/>
          <w:sz w:val="24"/>
          <w:szCs w:val="24"/>
          <w:lang w:val="en-US" w:eastAsia="zh-CN"/>
        </w:rPr>
        <w:t>证</w:t>
      </w:r>
      <w:r>
        <w:rPr>
          <w:rFonts w:hint="eastAsia" w:ascii="宋体" w:hAnsi="宋体" w:cs="宋体"/>
          <w:b/>
          <w:color w:val="FF0000"/>
          <w:sz w:val="24"/>
          <w:szCs w:val="24"/>
        </w:rPr>
        <w:t>金。</w:t>
      </w:r>
    </w:p>
    <w:p>
      <w:pPr>
        <w:pStyle w:val="2"/>
        <w:rPr>
          <w:rFonts w:hint="eastAsia"/>
        </w:rPr>
      </w:pP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十二、结算及付款</w:t>
      </w:r>
      <w:r>
        <w:rPr>
          <w:rFonts w:hint="eastAsia" w:ascii="宋体" w:hAnsi="宋体" w:eastAsia="宋体" w:cs="宋体"/>
          <w:b/>
          <w:color w:val="auto"/>
          <w:sz w:val="24"/>
          <w:szCs w:val="24"/>
          <w:lang w:val="en-US" w:eastAsia="zh-CN"/>
        </w:rPr>
        <w:t>指导</w:t>
      </w:r>
      <w:r>
        <w:rPr>
          <w:rFonts w:hint="eastAsia" w:ascii="宋体" w:hAnsi="宋体" w:eastAsia="宋体" w:cs="宋体"/>
          <w:b/>
          <w:color w:val="auto"/>
          <w:sz w:val="24"/>
          <w:szCs w:val="24"/>
        </w:rPr>
        <w:t>方式</w:t>
      </w:r>
    </w:p>
    <w:p>
      <w:pPr>
        <w:numPr>
          <w:ilvl w:val="0"/>
          <w:numId w:val="0"/>
        </w:numPr>
        <w:ind w:leftChars="303"/>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结算方式：承揽方维修结束，由发包方业主单位验收合格后，承揽方开具相应增值税专用发票；发票入账三个月付款</w:t>
      </w:r>
      <w:r>
        <w:rPr>
          <w:rFonts w:hint="eastAsia" w:ascii="宋体" w:hAnsi="宋体" w:cs="宋体"/>
          <w:bCs/>
          <w:color w:val="auto"/>
          <w:sz w:val="24"/>
          <w:szCs w:val="24"/>
          <w:lang w:val="en-US" w:eastAsia="zh-CN"/>
        </w:rPr>
        <w:t>9</w:t>
      </w:r>
      <w:r>
        <w:rPr>
          <w:rFonts w:hint="eastAsia" w:ascii="宋体" w:hAnsi="宋体" w:eastAsia="宋体" w:cs="宋体"/>
          <w:bCs/>
          <w:color w:val="auto"/>
          <w:sz w:val="24"/>
          <w:szCs w:val="24"/>
          <w:lang w:val="en-US" w:eastAsia="zh-CN"/>
        </w:rPr>
        <w:t>0%</w:t>
      </w:r>
      <w:r>
        <w:rPr>
          <w:rFonts w:hint="eastAsia" w:ascii="宋体" w:hAnsi="宋体" w:cs="宋体"/>
          <w:bCs/>
          <w:color w:val="auto"/>
          <w:sz w:val="24"/>
          <w:szCs w:val="24"/>
          <w:lang w:val="en-US" w:eastAsia="zh-CN"/>
        </w:rPr>
        <w:t>,10%质保金</w:t>
      </w:r>
      <w:r>
        <w:rPr>
          <w:rFonts w:hint="eastAsia" w:ascii="宋体" w:hAnsi="宋体" w:eastAsia="宋体" w:cs="宋体"/>
          <w:bCs/>
          <w:color w:val="auto"/>
          <w:sz w:val="24"/>
          <w:szCs w:val="24"/>
          <w:lang w:val="en-US" w:eastAsia="zh-CN"/>
        </w:rPr>
        <w:t>。付款方式，</w:t>
      </w:r>
      <w:r>
        <w:rPr>
          <w:rFonts w:hint="eastAsia" w:ascii="宋体" w:hAnsi="宋体" w:eastAsia="宋体" w:cs="宋体"/>
          <w:bCs/>
          <w:color w:val="auto"/>
          <w:sz w:val="24"/>
          <w:szCs w:val="24"/>
        </w:rPr>
        <w:t>2万元及以下电汇，2万以上付承兑汇票。</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十三、评标标准</w:t>
      </w:r>
    </w:p>
    <w:p>
      <w:pPr>
        <w:ind w:left="638" w:leftChars="304"/>
        <w:rPr>
          <w:rFonts w:hint="eastAsia" w:ascii="宋体" w:hAnsi="宋体" w:eastAsia="宋体" w:cs="宋体"/>
          <w:color w:val="auto"/>
          <w:sz w:val="24"/>
          <w:szCs w:val="24"/>
        </w:rPr>
      </w:pPr>
      <w:r>
        <w:rPr>
          <w:rFonts w:hint="eastAsia" w:ascii="宋体" w:hAnsi="宋体" w:eastAsia="宋体" w:cs="宋体"/>
          <w:color w:val="auto"/>
          <w:sz w:val="24"/>
          <w:szCs w:val="24"/>
        </w:rPr>
        <w:t>由评标委员会评分，按分数从高到低顺序推荐中标候选单位。</w:t>
      </w:r>
    </w:p>
    <w:p>
      <w:pPr>
        <w:ind w:left="638" w:leftChars="304"/>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本次采取综合评分方式进行评标。</w:t>
      </w:r>
    </w:p>
    <w:p>
      <w:pPr>
        <w:ind w:left="638" w:leftChars="304"/>
        <w:rPr>
          <w:rFonts w:hint="eastAsia" w:ascii="宋体" w:hAnsi="宋体" w:eastAsia="宋体" w:cs="宋体"/>
          <w:color w:val="auto"/>
          <w:sz w:val="24"/>
          <w:szCs w:val="24"/>
        </w:rPr>
      </w:pPr>
      <w:r>
        <w:rPr>
          <w:rFonts w:hint="eastAsia" w:ascii="宋体" w:hAnsi="宋体" w:eastAsia="宋体" w:cs="宋体"/>
          <w:color w:val="auto"/>
          <w:sz w:val="24"/>
          <w:szCs w:val="24"/>
        </w:rPr>
        <w:t>评分标准：价格</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分，质量</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分，资质、装备及工艺技术水平、业绩</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分，服务、工期及资金状况10分。</w:t>
      </w:r>
    </w:p>
    <w:p>
      <w:pPr>
        <w:numPr>
          <w:ilvl w:val="0"/>
          <w:numId w:val="6"/>
        </w:numPr>
        <w:rPr>
          <w:rFonts w:hint="eastAsia" w:ascii="宋体" w:hAnsi="宋体" w:eastAsia="宋体" w:cs="宋体"/>
          <w:b/>
          <w:color w:val="auto"/>
          <w:sz w:val="24"/>
          <w:szCs w:val="24"/>
        </w:rPr>
      </w:pPr>
      <w:r>
        <w:rPr>
          <w:rFonts w:hint="eastAsia" w:ascii="宋体" w:hAnsi="宋体" w:eastAsia="宋体" w:cs="宋体"/>
          <w:b/>
          <w:color w:val="auto"/>
          <w:sz w:val="24"/>
          <w:szCs w:val="24"/>
        </w:rPr>
        <w:t>其他要求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维保内容：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eastAsia"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1、对芜湖新兴铸管（包含公司办公楼火灾自动报警、副楼气体自动灭火系统）厂区各部门火灾报警器、自动灭火系统进行维护保养，更换必要设备设施</w:t>
      </w:r>
      <w:r>
        <w:rPr>
          <w:rFonts w:hint="eastAsia" w:ascii="仿宋_GB2312" w:hAnsi="仿宋_GB2312" w:eastAsia="仿宋_GB2312" w:cs="仿宋_GB2312"/>
          <w:color w:val="00000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eastAsia"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2、设备维修完善后进入维保阶段，在维保阶段内如现场设备出现故障，承揽方需在24小时内给予处理，若故障较难解决，需在48小时内提供书面的解决方案</w:t>
      </w:r>
      <w:r>
        <w:rPr>
          <w:rFonts w:hint="eastAsia" w:ascii="仿宋_GB2312" w:hAnsi="仿宋_GB2312" w:eastAsia="仿宋_GB2312" w:cs="仿宋_GB2312"/>
          <w:color w:val="00000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3、火灾自动报警系统、自动灭火系统维修完善后，进入日常维保，每月度对现场报警点位进行清洗、维护、保养，并出具业主单位消防主管签字的月度维保报告。月度维保报告维保时间节点按单点设备修复完善后计算</w:t>
      </w:r>
      <w:r>
        <w:rPr>
          <w:rFonts w:hint="eastAsia" w:ascii="仿宋_GB2312" w:hAnsi="仿宋_GB2312" w:eastAsia="仿宋_GB2312" w:cs="仿宋_GB2312"/>
          <w:color w:val="00000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4、维修人员需熟知全厂火灾自动报警系统运行维护标准和区域探头分布明细，并对现场点位进行编号、记录</w:t>
      </w:r>
      <w:r>
        <w:rPr>
          <w:rFonts w:hint="eastAsia" w:ascii="仿宋_GB2312" w:hAnsi="仿宋_GB2312" w:eastAsia="仿宋_GB2312" w:cs="仿宋_GB2312"/>
          <w:color w:val="00000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5、承揽方每月度提供给发包方维保报告，并满足发包方在维保期内任意时间节点提出提供维保检测报告的要求，承揽方需在24小时内将报告交于发包方</w:t>
      </w:r>
      <w:r>
        <w:rPr>
          <w:rFonts w:hint="eastAsia" w:ascii="仿宋_GB2312" w:hAnsi="仿宋_GB2312" w:eastAsia="仿宋_GB2312" w:cs="仿宋_GB2312"/>
          <w:color w:val="00000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6、炼铁部1号高炉消防设施年久老化维保单位需将主机及配套设施更换；其它消防设备设施维保程序正常。</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7、铸锻部铸件作业区中线，大线配电房的新增火灾自动报警装置（增加探头与原主机对接）。</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r>
        <w:rPr>
          <w:rFonts w:hint="default" w:ascii="仿宋_GB2312" w:hAnsi="仿宋_GB2312" w:eastAsia="仿宋_GB2312" w:cs="仿宋_GB2312"/>
          <w:color w:val="000000"/>
          <w:sz w:val="24"/>
          <w:szCs w:val="24"/>
          <w:lang w:val="en-US" w:eastAsia="zh-CN"/>
        </w:rPr>
        <w:t>、焦化部油库区域新增泡沫消防炮设备设施的维护、保养、及检测。</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r>
        <w:rPr>
          <w:rFonts w:hint="default" w:ascii="仿宋_GB2312" w:hAnsi="仿宋_GB2312" w:eastAsia="仿宋_GB2312" w:cs="仿宋_GB2312"/>
          <w:color w:val="000000"/>
          <w:sz w:val="24"/>
          <w:szCs w:val="24"/>
          <w:lang w:val="en-US" w:eastAsia="zh-CN"/>
        </w:rPr>
        <w:t>、轧钢部2023-2024年新增加压力开关49个、两套高压细水雾泵组纳入此次维保。</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r>
        <w:rPr>
          <w:rFonts w:hint="default" w:ascii="仿宋_GB2312" w:hAnsi="仿宋_GB2312" w:eastAsia="仿宋_GB2312" w:cs="仿宋_GB2312"/>
          <w:color w:val="000000"/>
          <w:sz w:val="24"/>
          <w:szCs w:val="24"/>
          <w:lang w:val="en-US" w:eastAsia="zh-CN"/>
        </w:rPr>
        <w:t>、保证各烟感、火灾报警器探头位置与主机显示位置一致，新更换的设备必须符合国家有关标准或市场准入的产品，提供相应的证件，现场端子箱内的设备、线路必须规范；</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val="en-US" w:eastAsia="zh-CN"/>
        </w:rPr>
        <w:t>1</w:t>
      </w:r>
      <w:r>
        <w:rPr>
          <w:rFonts w:hint="default" w:ascii="仿宋_GB2312" w:hAnsi="仿宋_GB2312" w:eastAsia="仿宋_GB2312" w:cs="仿宋_GB2312"/>
          <w:color w:val="000000"/>
          <w:sz w:val="24"/>
          <w:szCs w:val="24"/>
          <w:lang w:val="en-US" w:eastAsia="zh-CN"/>
        </w:rPr>
        <w:t>、维保期内对烟感火灾、报警器的检测、维修、清洗、保养的所有主机、探头等，检测维保结束后协助提供维保台账；</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val="en-US" w:eastAsia="zh-CN"/>
        </w:rPr>
        <w:t>2</w:t>
      </w:r>
      <w:r>
        <w:rPr>
          <w:rFonts w:hint="default" w:ascii="仿宋_GB2312" w:hAnsi="仿宋_GB2312" w:eastAsia="仿宋_GB2312" w:cs="仿宋_GB2312"/>
          <w:color w:val="000000"/>
          <w:sz w:val="24"/>
          <w:szCs w:val="24"/>
          <w:lang w:val="en-US" w:eastAsia="zh-CN"/>
        </w:rPr>
        <w:t>、对系统进行日常维修（含常用的备件材料），须达到使用技术要求；在规定时间内完成自动火灾报警系统的维保与检测工作，维保检测后的自动火灾报警系统须满足安全要求，并出具国家认可的专业检验检测报告。</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val="en-US" w:eastAsia="zh-CN"/>
        </w:rPr>
        <w:t>3</w:t>
      </w:r>
      <w:r>
        <w:rPr>
          <w:rFonts w:hint="default" w:ascii="仿宋_GB2312" w:hAnsi="仿宋_GB2312" w:eastAsia="仿宋_GB2312" w:cs="仿宋_GB2312"/>
          <w:color w:val="000000"/>
          <w:sz w:val="24"/>
          <w:szCs w:val="24"/>
          <w:lang w:val="en-US" w:eastAsia="zh-CN"/>
        </w:rPr>
        <w:t>、本次维保在上年基础上新增加副楼气体自动灭火系统、制氧站、煤气柜、各事业部部分高低压配电室、液压站火灾自动报警、焦化部油库区域泡沫液检测及探头灭火系统维护保养、检测、后期料场大棚自动灭火系统等，其中烟感报警器1650个，手动报警器926个，温感报警器645个，声光报警器553个，广播（扩音器）103个，电话35个，主机76个，可恢复式定温揽式探测器642个，显示盘25个，输入输出模块581个，温感模块427个，干粉气罐88个，手动消防栓42个，红外火焰探测器130个，喷淋头灭火弹761个、压力开关38个。实际数据以现场确认为准（参标单位可现场与各事业部交流）。</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val="en-US" w:eastAsia="zh-CN"/>
        </w:rPr>
        <w:t>4</w:t>
      </w:r>
      <w:r>
        <w:rPr>
          <w:rFonts w:hint="default" w:ascii="仿宋_GB2312" w:hAnsi="仿宋_GB2312" w:eastAsia="仿宋_GB2312" w:cs="仿宋_GB2312"/>
          <w:color w:val="000000"/>
          <w:sz w:val="24"/>
          <w:szCs w:val="24"/>
          <w:lang w:val="en-US" w:eastAsia="zh-CN"/>
        </w:rPr>
        <w:t>、招标前招标单位对消防报警设备设施工作状态正常进行确认，合同签订后乙方默认甲方所有火灾自动灭火、报警设备设施为正常工作状态，并在35天内办完进厂手续入驻。</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val="en-US" w:eastAsia="zh-CN"/>
        </w:rPr>
        <w:t>5</w:t>
      </w:r>
      <w:r>
        <w:rPr>
          <w:rFonts w:hint="default" w:ascii="仿宋_GB2312" w:hAnsi="仿宋_GB2312" w:eastAsia="仿宋_GB2312" w:cs="仿宋_GB2312"/>
          <w:color w:val="000000"/>
          <w:sz w:val="24"/>
          <w:szCs w:val="24"/>
          <w:lang w:val="en-US" w:eastAsia="zh-CN"/>
        </w:rPr>
        <w:t>、此总费用包括后期新增自动报警设备设施的到期维保检测。</w:t>
      </w:r>
    </w:p>
    <w:p>
      <w:pPr>
        <w:pStyle w:val="2"/>
        <w:rPr>
          <w:rFonts w:hint="default"/>
          <w:lang w:val="en-US" w:eastAsia="zh-CN"/>
        </w:rPr>
      </w:pPr>
    </w:p>
    <w:p>
      <w:pPr>
        <w:ind w:left="638" w:leftChars="304"/>
        <w:rPr>
          <w:rFonts w:hint="default" w:ascii="宋体" w:hAnsi="宋体" w:eastAsia="宋体" w:cs="宋体"/>
          <w:b/>
          <w:bCs/>
          <w:color w:val="auto"/>
          <w:sz w:val="24"/>
          <w:lang w:val="en-US" w:eastAsia="zh-CN"/>
        </w:rPr>
      </w:pPr>
      <w:r>
        <w:rPr>
          <w:rFonts w:hint="default" w:ascii="宋体" w:hAnsi="宋体" w:eastAsia="宋体" w:cs="宋体"/>
          <w:b/>
          <w:bCs/>
          <w:color w:val="auto"/>
          <w:sz w:val="24"/>
          <w:szCs w:val="24"/>
          <w:lang w:val="en-US" w:eastAsia="zh-CN"/>
        </w:rPr>
        <w:t>本次招标项目最高投标限价为：</w:t>
      </w:r>
      <w:r>
        <w:rPr>
          <w:rFonts w:hint="eastAsia" w:cs="宋体"/>
          <w:b/>
          <w:bCs/>
          <w:color w:val="auto"/>
          <w:sz w:val="24"/>
          <w:szCs w:val="24"/>
          <w:lang w:val="en-US" w:eastAsia="zh-CN"/>
        </w:rPr>
        <w:t>280万元（贰佰捌拾万元）</w:t>
      </w:r>
      <w:r>
        <w:rPr>
          <w:rFonts w:hint="eastAsia" w:ascii="宋体" w:hAnsi="宋体" w:cs="宋体"/>
          <w:b/>
          <w:bCs/>
          <w:color w:val="auto"/>
          <w:sz w:val="24"/>
          <w:szCs w:val="24"/>
          <w:lang w:val="en-US" w:eastAsia="zh-CN"/>
        </w:rPr>
        <w:t>，</w:t>
      </w:r>
      <w:r>
        <w:rPr>
          <w:rFonts w:hint="default" w:ascii="宋体" w:hAnsi="宋体" w:eastAsia="宋体" w:cs="宋体"/>
          <w:b/>
          <w:bCs/>
          <w:color w:val="auto"/>
          <w:sz w:val="24"/>
          <w:szCs w:val="24"/>
          <w:lang w:val="en-US" w:eastAsia="zh-CN"/>
        </w:rPr>
        <w:t>报价高于此最高投标限价的作废标处理。</w:t>
      </w:r>
    </w:p>
    <w:p>
      <w:pPr>
        <w:jc w:val="right"/>
        <w:rPr>
          <w:rFonts w:hint="eastAsia" w:ascii="宋体" w:hAnsi="宋体" w:eastAsia="宋体" w:cs="宋体"/>
          <w:b/>
          <w:color w:val="auto"/>
          <w:sz w:val="28"/>
          <w:szCs w:val="28"/>
        </w:rPr>
      </w:pPr>
    </w:p>
    <w:p>
      <w:pPr>
        <w:jc w:val="right"/>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rPr>
          <w:rFonts w:hint="eastAsia"/>
        </w:rPr>
      </w:pPr>
    </w:p>
    <w:p>
      <w:pPr>
        <w:jc w:val="right"/>
        <w:rPr>
          <w:rFonts w:hint="eastAsia" w:ascii="宋体" w:hAnsi="宋体" w:eastAsia="宋体" w:cs="宋体"/>
          <w:b/>
          <w:color w:val="auto"/>
          <w:sz w:val="28"/>
          <w:szCs w:val="28"/>
        </w:rPr>
      </w:pPr>
      <w:r>
        <w:rPr>
          <w:rFonts w:hint="eastAsia" w:ascii="宋体" w:hAnsi="宋体" w:eastAsia="宋体" w:cs="宋体"/>
          <w:b/>
          <w:color w:val="auto"/>
          <w:sz w:val="28"/>
          <w:szCs w:val="28"/>
        </w:rPr>
        <w:t>芜湖新兴铸管有限责任公司</w:t>
      </w:r>
    </w:p>
    <w:p>
      <w:pPr>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 xml:space="preserve">  2021年10月13日</w:t>
      </w:r>
    </w:p>
    <w:p>
      <w:pPr>
        <w:jc w:val="both"/>
        <w:rPr>
          <w:rFonts w:hint="eastAsia" w:ascii="宋体" w:hAnsi="宋体" w:eastAsia="宋体" w:cs="宋体"/>
          <w:color w:val="auto"/>
          <w:sz w:val="24"/>
          <w:szCs w:val="24"/>
        </w:rPr>
      </w:pPr>
    </w:p>
    <w:p>
      <w:pPr>
        <w:pStyle w:val="2"/>
        <w:rPr>
          <w:rFonts w:hint="default" w:ascii="宋体" w:hAnsi="宋体" w:eastAsia="宋体" w:cs="宋体"/>
          <w:sz w:val="30"/>
          <w:szCs w:val="30"/>
          <w:lang w:val="en-US" w:eastAsia="zh-CN"/>
        </w:rPr>
      </w:pPr>
      <w:r>
        <w:rPr>
          <w:rFonts w:hint="eastAsia" w:cs="宋体"/>
          <w:sz w:val="30"/>
          <w:szCs w:val="30"/>
          <w:lang w:eastAsia="zh-CN"/>
        </w:rPr>
        <w:t>附件</w:t>
      </w:r>
      <w:r>
        <w:rPr>
          <w:rFonts w:hint="eastAsia" w:cs="宋体"/>
          <w:sz w:val="30"/>
          <w:szCs w:val="30"/>
          <w:lang w:val="en-US" w:eastAsia="zh-CN"/>
        </w:rPr>
        <w:t>2</w:t>
      </w:r>
    </w:p>
    <w:p>
      <w:pPr>
        <w:jc w:val="both"/>
        <w:rPr>
          <w:rFonts w:hint="eastAsia" w:ascii="宋体" w:hAnsi="宋体" w:eastAsia="宋体" w:cs="宋体"/>
          <w:b/>
          <w:bCs/>
          <w:color w:val="auto"/>
          <w:sz w:val="24"/>
          <w:szCs w:val="24"/>
          <w:lang w:val="en-US" w:eastAsia="zh-CN"/>
        </w:rPr>
      </w:pPr>
    </w:p>
    <w:p>
      <w:p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w:t>
      </w:r>
    </w:p>
    <w:p>
      <w:pPr>
        <w:tabs>
          <w:tab w:val="left" w:pos="720"/>
          <w:tab w:val="left" w:pos="7200"/>
        </w:tabs>
        <w:snapToGrid w:val="0"/>
        <w:spacing w:line="240" w:lineRule="atLeast"/>
        <w:rPr>
          <w:b/>
        </w:rPr>
      </w:pPr>
      <w:r>
        <w:rPr>
          <w:sz w:val="21"/>
        </w:rPr>
        <mc:AlternateContent>
          <mc:Choice Requires="wps">
            <w:drawing>
              <wp:anchor distT="0" distB="0" distL="114300" distR="114300" simplePos="0" relativeHeight="251662336" behindDoc="0" locked="0" layoutInCell="1" allowOverlap="1">
                <wp:simplePos x="0" y="0"/>
                <wp:positionH relativeFrom="column">
                  <wp:posOffset>-387350</wp:posOffset>
                </wp:positionH>
                <wp:positionV relativeFrom="paragraph">
                  <wp:posOffset>13970</wp:posOffset>
                </wp:positionV>
                <wp:extent cx="6453505" cy="4225290"/>
                <wp:effectExtent l="4445" t="4445" r="19050" b="18415"/>
                <wp:wrapNone/>
                <wp:docPr id="1" name="文本框 1"/>
                <wp:cNvGraphicFramePr/>
                <a:graphic xmlns:a="http://schemas.openxmlformats.org/drawingml/2006/main">
                  <a:graphicData uri="http://schemas.microsoft.com/office/word/2010/wordprocessingShape">
                    <wps:wsp>
                      <wps:cNvSpPr txBox="1"/>
                      <wps:spPr>
                        <a:xfrm>
                          <a:off x="857250" y="655320"/>
                          <a:ext cx="6453505" cy="4225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FF"/>
                              </w:rPr>
                            </w:pPr>
                          </w:p>
                          <w:tbl>
                            <w:tblPr>
                              <w:tblStyle w:val="9"/>
                              <w:tblW w:w="9795" w:type="dxa"/>
                              <w:tblInd w:w="0" w:type="dxa"/>
                              <w:shd w:val="clear" w:color="auto" w:fill="auto"/>
                              <w:tblLayout w:type="fixed"/>
                              <w:tblCellMar>
                                <w:top w:w="0" w:type="dxa"/>
                                <w:left w:w="0" w:type="dxa"/>
                                <w:bottom w:w="0" w:type="dxa"/>
                                <w:right w:w="0" w:type="dxa"/>
                              </w:tblCellMar>
                            </w:tblPr>
                            <w:tblGrid>
                              <w:gridCol w:w="630"/>
                              <w:gridCol w:w="1605"/>
                              <w:gridCol w:w="1081"/>
                              <w:gridCol w:w="1500"/>
                              <w:gridCol w:w="1199"/>
                              <w:gridCol w:w="1260"/>
                              <w:gridCol w:w="1260"/>
                              <w:gridCol w:w="1260"/>
                            </w:tblGrid>
                            <w:tr>
                              <w:tblPrEx>
                                <w:shd w:val="clear" w:color="auto" w:fill="auto"/>
                                <w:tblCellMar>
                                  <w:top w:w="0" w:type="dxa"/>
                                  <w:left w:w="0" w:type="dxa"/>
                                  <w:bottom w:w="0" w:type="dxa"/>
                                  <w:right w:w="0" w:type="dxa"/>
                                </w:tblCellMar>
                              </w:tblPrEx>
                              <w:trPr>
                                <w:trHeight w:val="615" w:hRule="atLeast"/>
                              </w:trPr>
                              <w:tc>
                                <w:tcPr>
                                  <w:tcW w:w="979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cs="宋体"/>
                                      <w:b/>
                                      <w:i w:val="0"/>
                                      <w:color w:val="auto"/>
                                      <w:kern w:val="0"/>
                                      <w:sz w:val="36"/>
                                      <w:szCs w:val="36"/>
                                      <w:u w:val="none"/>
                                      <w:lang w:val="en-US" w:eastAsia="zh-CN" w:bidi="ar"/>
                                    </w:rPr>
                                    <w:t>2022年公司火灾自动报警维保检测项目</w:t>
                                  </w:r>
                                  <w:r>
                                    <w:rPr>
                                      <w:rFonts w:hint="eastAsia" w:ascii="宋体" w:hAnsi="宋体" w:eastAsia="宋体" w:cs="宋体"/>
                                      <w:b/>
                                      <w:i w:val="0"/>
                                      <w:color w:val="auto"/>
                                      <w:kern w:val="0"/>
                                      <w:sz w:val="36"/>
                                      <w:szCs w:val="36"/>
                                      <w:u w:val="none"/>
                                      <w:lang w:val="en-US" w:eastAsia="zh-CN" w:bidi="ar"/>
                                    </w:rPr>
                                    <w:t>报价表</w:t>
                                  </w:r>
                                </w:p>
                              </w:tc>
                            </w:tr>
                            <w:tr>
                              <w:tblPrEx>
                                <w:shd w:val="clear" w:color="auto" w:fill="auto"/>
                                <w:tblCellMar>
                                  <w:top w:w="0" w:type="dxa"/>
                                  <w:left w:w="0" w:type="dxa"/>
                                  <w:bottom w:w="0" w:type="dxa"/>
                                  <w:right w:w="0"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kern w:val="0"/>
                                      <w:sz w:val="22"/>
                                      <w:szCs w:val="22"/>
                                      <w:u w:val="none"/>
                                      <w:lang w:val="en-US" w:eastAsia="zh-CN" w:bidi="ar"/>
                                    </w:rPr>
                                    <w:t>设备</w:t>
                                  </w:r>
                                  <w:r>
                                    <w:rPr>
                                      <w:rFonts w:hint="eastAsia" w:ascii="宋体" w:hAnsi="宋体" w:cs="宋体"/>
                                      <w:i w:val="0"/>
                                      <w:color w:val="auto"/>
                                      <w:kern w:val="0"/>
                                      <w:sz w:val="22"/>
                                      <w:szCs w:val="22"/>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型号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报价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分项报价合计（元）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814" w:hRule="atLeast"/>
                              </w:trPr>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26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4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11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sz w:val="22"/>
                                      <w:szCs w:val="22"/>
                                      <w:u w:val="none"/>
                                      <w:lang w:eastAsia="zh-CN"/>
                                    </w:rPr>
                                    <w:t>……</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720"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一次报价合计：</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元；</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报价金额大写：</w:t>
                                  </w:r>
                                </w:p>
                              </w:tc>
                              <w:tc>
                                <w:tcPr>
                                  <w:tcW w:w="11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税率：</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w:t>
                                  </w:r>
                                </w:p>
                              </w:tc>
                              <w:tc>
                                <w:tcPr>
                                  <w:tcW w:w="12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pPr>
                          </w:p>
                          <w:p/>
                          <w:p>
                            <w:pPr>
                              <w:pStyle w:val="2"/>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1.1pt;height:332.7pt;width:508.15pt;z-index:251662336;mso-width-relative:page;mso-height-relative:page;" fillcolor="#FFFFFF [3201]" filled="t" stroked="t" coordsize="21600,21600" o:gfxdata="UEsDBAoAAAAAAIdO4kAAAAAAAAAAAAAAAAAEAAAAZHJzL1BLAwQUAAAACACHTuJAtwzq29YAAAAJ&#10;AQAADwAAAGRycy9kb3ducmV2LnhtbE2PzU7DMBCE70i8g7VI3FrnRzU0zaYSSEiIGyUXbm68TSLs&#10;dRS7TXl7zAmOoxnNfFPvr86KC81h9IyQrzMQxJ03I/cI7cfL6hFEiJqNtp4J4ZsC7Jvbm1pXxi/8&#10;TpdD7EUq4VBphCHGqZIydAM5HdZ+Ik7eyc9OxyTnXppZL6ncWVlkmZJOj5wWBj3R80Dd1+HsEF7V&#10;U/yk1ryZsij90spuPtmAeH+XZzsQka7xLwy/+AkdmsR09Gc2QViElcrTl4hQFCCSv91sShBHBKUe&#10;FMimlv8fND9QSwMEFAAAAAgAh07iQL86Y6tgAgAAwgQAAA4AAABkcnMvZTJvRG9jLnhtbK1UzW4T&#10;MRC+I/EOlu90kyVb2qibKrQKQqpopYI4O15vdoX/sJ3slgeAN+DEhTvP1efgs3f7z6EHcnDGni/f&#10;zHwzk6PjXkmyE863Rpd0ujehRGhuqlZvSvrp4+rVASU+MF0xabQo6ZXw9Hjx8sVRZ+ciN42RlXAE&#10;JNrPO1vSJgQ7zzLPG6GY3zNWaDhr4xQLuLpNVjnWgV3JLJ9M9rPOuMo6w4X3eD0dnHRkdM8hNHXd&#10;cnFq+FYJHQZWJyQLKMk3rfV0kbKta8HDeV17EYgsKSoN6UQQ2Ot4ZosjNt84ZpuWjymw56TwqCbF&#10;Wo2gt1SnLDCyde0TKtVyZ7ypwx43KhsKSYqgiunkkTaXDbMi1QKpvb0V3f8/Wv5hd+FIW2ESKNFM&#10;oeHXP39c//pz/fs7mUZ5OuvnQF1a4EL/1vQROr57PMaq+9qp+I16CPwHxZu8gMJXJd0vitf5KLPo&#10;A+Fw78+K18WkoIQDMMvzIj9MiOyOyDof3gmjSDRK6tDHJC/bnfmA4IDeQGJcb2RbrVop08Vt1ifS&#10;kR1Dz1fpE/PFTx7ApCYdckEmifmBL3LfUqwl41+eMoBPatBGfQYdohX6dT+KszbVFTRzZhg6b/mq&#10;Be8Z8+GCOUwZFMIehnMctTRIxowWJY1x3/71HvFoPryUdJjakvqvW+YEJfK9xlgcTmezOObpMkMb&#10;cHH3Pev7Hr1VJwYiofXILpkRH+SNWTujPmNdlzEqXExzxC5puDFPwrBLWHculssEwmBbFs70peWR&#10;OrZEm+U2mLpNrYsyDdqM6mG0U3vGNYy7c/+eUHd/PY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wzq29YAAAAJAQAADwAAAAAAAAABACAAAAAiAAAAZHJzL2Rvd25yZXYueG1sUEsBAhQAFAAAAAgA&#10;h07iQL86Y6tgAgAAwgQAAA4AAAAAAAAAAQAgAAAAJQEAAGRycy9lMm9Eb2MueG1sUEsFBgAAAAAG&#10;AAYAWQEAAPcFAAAAAA==&#10;">
                <v:fill on="t" focussize="0,0"/>
                <v:stroke weight="0.5pt" color="#000000 [3204]" joinstyle="round"/>
                <v:imagedata o:title=""/>
                <o:lock v:ext="edit" aspectratio="f"/>
                <v:textbox>
                  <w:txbxContent>
                    <w:p>
                      <w:pPr>
                        <w:rPr>
                          <w:color w:val="0000FF"/>
                        </w:rPr>
                      </w:pPr>
                    </w:p>
                    <w:tbl>
                      <w:tblPr>
                        <w:tblStyle w:val="9"/>
                        <w:tblW w:w="9795" w:type="dxa"/>
                        <w:tblInd w:w="0" w:type="dxa"/>
                        <w:shd w:val="clear" w:color="auto" w:fill="auto"/>
                        <w:tblLayout w:type="fixed"/>
                        <w:tblCellMar>
                          <w:top w:w="0" w:type="dxa"/>
                          <w:left w:w="0" w:type="dxa"/>
                          <w:bottom w:w="0" w:type="dxa"/>
                          <w:right w:w="0" w:type="dxa"/>
                        </w:tblCellMar>
                      </w:tblPr>
                      <w:tblGrid>
                        <w:gridCol w:w="630"/>
                        <w:gridCol w:w="1605"/>
                        <w:gridCol w:w="1081"/>
                        <w:gridCol w:w="1500"/>
                        <w:gridCol w:w="1199"/>
                        <w:gridCol w:w="1260"/>
                        <w:gridCol w:w="1260"/>
                        <w:gridCol w:w="1260"/>
                      </w:tblGrid>
                      <w:tr>
                        <w:tblPrEx>
                          <w:tblCellMar>
                            <w:top w:w="0" w:type="dxa"/>
                            <w:left w:w="0" w:type="dxa"/>
                            <w:bottom w:w="0" w:type="dxa"/>
                            <w:right w:w="0" w:type="dxa"/>
                          </w:tblCellMar>
                        </w:tblPrEx>
                        <w:trPr>
                          <w:trHeight w:val="615" w:hRule="atLeast"/>
                        </w:trPr>
                        <w:tc>
                          <w:tcPr>
                            <w:tcW w:w="979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cs="宋体"/>
                                <w:b/>
                                <w:i w:val="0"/>
                                <w:color w:val="auto"/>
                                <w:kern w:val="0"/>
                                <w:sz w:val="36"/>
                                <w:szCs w:val="36"/>
                                <w:u w:val="none"/>
                                <w:lang w:val="en-US" w:eastAsia="zh-CN" w:bidi="ar"/>
                              </w:rPr>
                              <w:t>2022年公司火灾自动报警维保检测项目</w:t>
                            </w:r>
                            <w:r>
                              <w:rPr>
                                <w:rFonts w:hint="eastAsia" w:ascii="宋体" w:hAnsi="宋体" w:eastAsia="宋体" w:cs="宋体"/>
                                <w:b/>
                                <w:i w:val="0"/>
                                <w:color w:val="auto"/>
                                <w:kern w:val="0"/>
                                <w:sz w:val="36"/>
                                <w:szCs w:val="36"/>
                                <w:u w:val="none"/>
                                <w:lang w:val="en-US" w:eastAsia="zh-CN" w:bidi="ar"/>
                              </w:rPr>
                              <w:t>报价表</w:t>
                            </w:r>
                          </w:p>
                        </w:tc>
                      </w:tr>
                      <w:tr>
                        <w:tblPrEx>
                          <w:shd w:val="clear" w:color="auto" w:fill="auto"/>
                          <w:tblCellMar>
                            <w:top w:w="0" w:type="dxa"/>
                            <w:left w:w="0" w:type="dxa"/>
                            <w:bottom w:w="0" w:type="dxa"/>
                            <w:right w:w="0"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kern w:val="0"/>
                                <w:sz w:val="22"/>
                                <w:szCs w:val="22"/>
                                <w:u w:val="none"/>
                                <w:lang w:val="en-US" w:eastAsia="zh-CN" w:bidi="ar"/>
                              </w:rPr>
                              <w:t>设备</w:t>
                            </w:r>
                            <w:r>
                              <w:rPr>
                                <w:rFonts w:hint="eastAsia" w:ascii="宋体" w:hAnsi="宋体" w:cs="宋体"/>
                                <w:i w:val="0"/>
                                <w:color w:val="auto"/>
                                <w:kern w:val="0"/>
                                <w:sz w:val="22"/>
                                <w:szCs w:val="22"/>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型号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报价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分项报价合计（元）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814" w:hRule="atLeast"/>
                        </w:trPr>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26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4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11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sz w:val="22"/>
                                <w:szCs w:val="22"/>
                                <w:u w:val="none"/>
                                <w:lang w:eastAsia="zh-CN"/>
                              </w:rPr>
                              <w:t>……</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宋体" w:hAnsi="宋体" w:cs="宋体"/>
                                <w:i w:val="0"/>
                                <w:color w:val="auto"/>
                                <w:sz w:val="22"/>
                                <w:szCs w:val="22"/>
                                <w:u w:val="none"/>
                                <w:lang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720"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一次报价合计：</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元；</w:t>
                            </w:r>
                          </w:p>
                        </w:tc>
                        <w:tc>
                          <w:tcPr>
                            <w:tcW w:w="2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报价金额大写：</w:t>
                            </w:r>
                          </w:p>
                        </w:tc>
                        <w:tc>
                          <w:tcPr>
                            <w:tcW w:w="11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税率：</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w:t>
                            </w:r>
                          </w:p>
                        </w:tc>
                        <w:tc>
                          <w:tcPr>
                            <w:tcW w:w="12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pPr>
                    </w:p>
                    <w:p/>
                    <w:p>
                      <w:pPr>
                        <w:pStyle w:val="2"/>
                      </w:pPr>
                    </w:p>
                    <w:p/>
                  </w:txbxContent>
                </v:textbox>
              </v:shape>
            </w:pict>
          </mc:Fallback>
        </mc:AlternateConten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ind w:left="0" w:leftChars="0" w:firstLine="0" w:firstLineChars="0"/>
        <w:rPr>
          <w:b/>
        </w:rPr>
      </w:pPr>
    </w:p>
    <w:p>
      <w:pPr>
        <w:tabs>
          <w:tab w:val="left" w:pos="720"/>
          <w:tab w:val="left" w:pos="7200"/>
        </w:tabs>
        <w:snapToGrid w:val="0"/>
        <w:spacing w:line="240" w:lineRule="atLeast"/>
        <w:rPr>
          <w:b/>
        </w:rPr>
      </w:pPr>
    </w:p>
    <w:p>
      <w:pPr>
        <w:pStyle w:val="2"/>
        <w:rPr>
          <w:b/>
        </w:rPr>
      </w:pPr>
    </w:p>
    <w:p>
      <w:pPr>
        <w:rPr>
          <w:b/>
        </w:rPr>
      </w:pPr>
    </w:p>
    <w:p>
      <w:pPr>
        <w:pStyle w:val="2"/>
        <w:rPr>
          <w:b/>
        </w:rPr>
      </w:pPr>
    </w:p>
    <w:p>
      <w:pPr>
        <w:rPr>
          <w:b/>
        </w:rPr>
      </w:pPr>
    </w:p>
    <w:p/>
    <w:p>
      <w:pPr>
        <w:pStyle w:val="2"/>
      </w:pPr>
    </w:p>
    <w:p/>
    <w:p>
      <w:pPr>
        <w:pStyle w:val="2"/>
      </w:pPr>
    </w:p>
    <w:p/>
    <w:p>
      <w:pPr>
        <w:pStyle w:val="2"/>
      </w:pPr>
    </w:p>
    <w:p>
      <w:pPr>
        <w:pStyle w:val="2"/>
      </w:pPr>
    </w:p>
    <w:p/>
    <w:p>
      <w:pPr>
        <w:pStyle w:val="2"/>
      </w:pPr>
    </w:p>
    <w:p/>
    <w:p>
      <w:pPr>
        <w:pStyle w:val="2"/>
      </w:pPr>
    </w:p>
    <w:p/>
    <w:p>
      <w:pPr>
        <w:pStyle w:val="2"/>
      </w:pPr>
    </w:p>
    <w:p>
      <w:pPr>
        <w:pStyle w:val="2"/>
        <w:rPr>
          <w:rFonts w:hint="default" w:ascii="宋体" w:hAnsi="宋体" w:eastAsia="宋体" w:cs="宋体"/>
          <w:sz w:val="30"/>
          <w:szCs w:val="30"/>
          <w:lang w:val="en-US" w:eastAsia="zh-CN"/>
        </w:rPr>
      </w:pPr>
      <w:r>
        <w:rPr>
          <w:rFonts w:hint="eastAsia" w:cs="宋体"/>
          <w:sz w:val="30"/>
          <w:szCs w:val="30"/>
          <w:lang w:eastAsia="zh-CN"/>
        </w:rPr>
        <w:t>附件</w:t>
      </w:r>
      <w:r>
        <w:rPr>
          <w:rFonts w:hint="eastAsia" w:cs="宋体"/>
          <w:sz w:val="30"/>
          <w:szCs w:val="30"/>
          <w:lang w:val="en-US" w:eastAsia="zh-CN"/>
        </w:rPr>
        <w:t>3</w: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35pt;margin-top:-11.6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eastAsia="zh-CN"/>
        </w:rPr>
        <w:t>whxxzg001@qq.com</w:t>
      </w:r>
      <w:r>
        <w:rPr>
          <w:rFonts w:hint="eastAsia" w:ascii="仿宋_GB2312" w:eastAsia="仿宋_GB2312"/>
          <w:b/>
          <w:color w:val="0000FF"/>
          <w:sz w:val="28"/>
          <w:szCs w:val="28"/>
          <w:lang w:val="en-US" w:eastAsia="zh-CN"/>
        </w:rPr>
        <w:t>。</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pStyle w:val="2"/>
        <w:rPr>
          <w:rFonts w:hint="eastAsia" w:ascii="微软雅黑" w:eastAsia="微软雅黑"/>
          <w:b/>
          <w:sz w:val="36"/>
        </w:rPr>
      </w:pPr>
      <w:r>
        <w:rPr>
          <w:rFonts w:hint="eastAsia" w:cs="宋体"/>
          <w:sz w:val="30"/>
          <w:szCs w:val="30"/>
          <w:lang w:eastAsia="zh-CN"/>
        </w:rPr>
        <w:t>附件</w:t>
      </w:r>
      <w:r>
        <w:rPr>
          <w:rFonts w:hint="eastAsia" w:cs="宋体"/>
          <w:sz w:val="30"/>
          <w:szCs w:val="30"/>
          <w:lang w:val="en-US" w:eastAsia="zh-CN"/>
        </w:rPr>
        <w:t>4</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pStyle w:val="2"/>
        <w:rPr>
          <w:bCs/>
          <w:sz w:val="28"/>
          <w:szCs w:val="28"/>
        </w:rPr>
      </w:pPr>
      <w:r>
        <w:rPr>
          <w:rFonts w:hint="eastAsia" w:cs="宋体"/>
          <w:sz w:val="30"/>
          <w:szCs w:val="30"/>
          <w:lang w:eastAsia="zh-CN"/>
        </w:rPr>
        <w:t>附件</w:t>
      </w:r>
      <w:r>
        <w:rPr>
          <w:rFonts w:hint="eastAsia" w:cs="宋体"/>
          <w:sz w:val="30"/>
          <w:szCs w:val="30"/>
          <w:lang w:val="en-US" w:eastAsia="zh-CN"/>
        </w:rPr>
        <w:t>5</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2612364"/>
    <w:rsid w:val="026F1EC0"/>
    <w:rsid w:val="02714618"/>
    <w:rsid w:val="02744B13"/>
    <w:rsid w:val="0359403E"/>
    <w:rsid w:val="03CA2D70"/>
    <w:rsid w:val="03E609B6"/>
    <w:rsid w:val="049F7266"/>
    <w:rsid w:val="05055DEC"/>
    <w:rsid w:val="05A1714E"/>
    <w:rsid w:val="06092F84"/>
    <w:rsid w:val="06223459"/>
    <w:rsid w:val="078D31D6"/>
    <w:rsid w:val="08772F32"/>
    <w:rsid w:val="08830E09"/>
    <w:rsid w:val="08E5761C"/>
    <w:rsid w:val="08E753D4"/>
    <w:rsid w:val="090B706D"/>
    <w:rsid w:val="091E3FD2"/>
    <w:rsid w:val="093D70D3"/>
    <w:rsid w:val="09B22D37"/>
    <w:rsid w:val="0A0371ED"/>
    <w:rsid w:val="0A360BB6"/>
    <w:rsid w:val="0A3C50D1"/>
    <w:rsid w:val="0A664E28"/>
    <w:rsid w:val="0A7A4FE7"/>
    <w:rsid w:val="0A862F69"/>
    <w:rsid w:val="0AB5637B"/>
    <w:rsid w:val="0B7C138B"/>
    <w:rsid w:val="0BE27B8C"/>
    <w:rsid w:val="0C080C41"/>
    <w:rsid w:val="0C1859C6"/>
    <w:rsid w:val="0C313DF6"/>
    <w:rsid w:val="0CC75FEA"/>
    <w:rsid w:val="0D5243ED"/>
    <w:rsid w:val="0D8D3E6B"/>
    <w:rsid w:val="0E463DB0"/>
    <w:rsid w:val="0E8D717C"/>
    <w:rsid w:val="0FF32FF0"/>
    <w:rsid w:val="102A6559"/>
    <w:rsid w:val="104A7442"/>
    <w:rsid w:val="10A61D3E"/>
    <w:rsid w:val="11E2473B"/>
    <w:rsid w:val="123C2831"/>
    <w:rsid w:val="12BF60C9"/>
    <w:rsid w:val="12DA3ACE"/>
    <w:rsid w:val="13453294"/>
    <w:rsid w:val="13C96641"/>
    <w:rsid w:val="13CD2E06"/>
    <w:rsid w:val="140B7274"/>
    <w:rsid w:val="1410406F"/>
    <w:rsid w:val="14842D4B"/>
    <w:rsid w:val="1485679E"/>
    <w:rsid w:val="14C47DFB"/>
    <w:rsid w:val="14E63829"/>
    <w:rsid w:val="15033E01"/>
    <w:rsid w:val="153452FD"/>
    <w:rsid w:val="15510748"/>
    <w:rsid w:val="15852DCC"/>
    <w:rsid w:val="16194009"/>
    <w:rsid w:val="164104C8"/>
    <w:rsid w:val="16AF0386"/>
    <w:rsid w:val="171C6697"/>
    <w:rsid w:val="17A47DC6"/>
    <w:rsid w:val="17D57CB5"/>
    <w:rsid w:val="17F201CC"/>
    <w:rsid w:val="18285AE9"/>
    <w:rsid w:val="18590675"/>
    <w:rsid w:val="18860A73"/>
    <w:rsid w:val="18CB096F"/>
    <w:rsid w:val="191276F1"/>
    <w:rsid w:val="19A40C16"/>
    <w:rsid w:val="1A491240"/>
    <w:rsid w:val="1A6E6EF3"/>
    <w:rsid w:val="1A722489"/>
    <w:rsid w:val="1ACF266A"/>
    <w:rsid w:val="1B727C38"/>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A068A1"/>
    <w:rsid w:val="29F46B06"/>
    <w:rsid w:val="29F91800"/>
    <w:rsid w:val="2A815E5E"/>
    <w:rsid w:val="2A8C390C"/>
    <w:rsid w:val="2B793E86"/>
    <w:rsid w:val="2B9E6661"/>
    <w:rsid w:val="2BAE7996"/>
    <w:rsid w:val="2C245253"/>
    <w:rsid w:val="2C683358"/>
    <w:rsid w:val="2C6A2549"/>
    <w:rsid w:val="2CFB13EC"/>
    <w:rsid w:val="2D352516"/>
    <w:rsid w:val="2D5646CB"/>
    <w:rsid w:val="2D9D4FB9"/>
    <w:rsid w:val="2DBF4A5D"/>
    <w:rsid w:val="2E5349E3"/>
    <w:rsid w:val="2FD01EFE"/>
    <w:rsid w:val="305B5D9E"/>
    <w:rsid w:val="30DD5200"/>
    <w:rsid w:val="32372CC9"/>
    <w:rsid w:val="32BF0EBF"/>
    <w:rsid w:val="33732D94"/>
    <w:rsid w:val="33D9448D"/>
    <w:rsid w:val="342771D5"/>
    <w:rsid w:val="34BF11CB"/>
    <w:rsid w:val="35FF4D01"/>
    <w:rsid w:val="36363A60"/>
    <w:rsid w:val="366D00F1"/>
    <w:rsid w:val="37232FDA"/>
    <w:rsid w:val="389B6B59"/>
    <w:rsid w:val="38DD474A"/>
    <w:rsid w:val="3AF836DB"/>
    <w:rsid w:val="3B79579C"/>
    <w:rsid w:val="3B95751B"/>
    <w:rsid w:val="3BA87B84"/>
    <w:rsid w:val="3BBC7E07"/>
    <w:rsid w:val="3C7A27D8"/>
    <w:rsid w:val="3FD61736"/>
    <w:rsid w:val="3FE12F42"/>
    <w:rsid w:val="403D7860"/>
    <w:rsid w:val="40854F55"/>
    <w:rsid w:val="41761474"/>
    <w:rsid w:val="41EF7E88"/>
    <w:rsid w:val="42616A08"/>
    <w:rsid w:val="42FC01EE"/>
    <w:rsid w:val="4306178B"/>
    <w:rsid w:val="434847B1"/>
    <w:rsid w:val="437E1B5F"/>
    <w:rsid w:val="43834BB1"/>
    <w:rsid w:val="44115275"/>
    <w:rsid w:val="445E33D2"/>
    <w:rsid w:val="44D90ED7"/>
    <w:rsid w:val="44E16AC9"/>
    <w:rsid w:val="45982D2E"/>
    <w:rsid w:val="45C50135"/>
    <w:rsid w:val="463C43C1"/>
    <w:rsid w:val="465156FA"/>
    <w:rsid w:val="46763632"/>
    <w:rsid w:val="46864C98"/>
    <w:rsid w:val="47A877F1"/>
    <w:rsid w:val="47F646ED"/>
    <w:rsid w:val="48333AA2"/>
    <w:rsid w:val="484E7674"/>
    <w:rsid w:val="485B666D"/>
    <w:rsid w:val="49413915"/>
    <w:rsid w:val="498450E0"/>
    <w:rsid w:val="4A894820"/>
    <w:rsid w:val="4AE32B65"/>
    <w:rsid w:val="4B5A32B7"/>
    <w:rsid w:val="4C0E0DDD"/>
    <w:rsid w:val="4C1075C9"/>
    <w:rsid w:val="4C2819A0"/>
    <w:rsid w:val="4C2B4433"/>
    <w:rsid w:val="4D630F73"/>
    <w:rsid w:val="4E330062"/>
    <w:rsid w:val="4E933866"/>
    <w:rsid w:val="4ECE3A1F"/>
    <w:rsid w:val="51281503"/>
    <w:rsid w:val="512843CC"/>
    <w:rsid w:val="512E21B9"/>
    <w:rsid w:val="515A6EC2"/>
    <w:rsid w:val="528E627F"/>
    <w:rsid w:val="53FD53B4"/>
    <w:rsid w:val="54015272"/>
    <w:rsid w:val="54065380"/>
    <w:rsid w:val="555C445B"/>
    <w:rsid w:val="556F09F4"/>
    <w:rsid w:val="55AF62E4"/>
    <w:rsid w:val="56B45E5E"/>
    <w:rsid w:val="56C25E8F"/>
    <w:rsid w:val="57142BEB"/>
    <w:rsid w:val="57242DF9"/>
    <w:rsid w:val="57F7037F"/>
    <w:rsid w:val="587765FD"/>
    <w:rsid w:val="58A25F92"/>
    <w:rsid w:val="595D3CE6"/>
    <w:rsid w:val="59CB76E9"/>
    <w:rsid w:val="59CD70F7"/>
    <w:rsid w:val="59CE448C"/>
    <w:rsid w:val="59F76C1F"/>
    <w:rsid w:val="5A3E0903"/>
    <w:rsid w:val="5A7A341B"/>
    <w:rsid w:val="5A7B6332"/>
    <w:rsid w:val="5D0A43B3"/>
    <w:rsid w:val="5D956282"/>
    <w:rsid w:val="5E0A70BC"/>
    <w:rsid w:val="5ED33E51"/>
    <w:rsid w:val="5F1464C5"/>
    <w:rsid w:val="612D253D"/>
    <w:rsid w:val="62DB6FA0"/>
    <w:rsid w:val="62E06CCD"/>
    <w:rsid w:val="62EA534E"/>
    <w:rsid w:val="630374E0"/>
    <w:rsid w:val="644259B2"/>
    <w:rsid w:val="64A63A0B"/>
    <w:rsid w:val="64F05C4C"/>
    <w:rsid w:val="652E5B69"/>
    <w:rsid w:val="65327054"/>
    <w:rsid w:val="65560384"/>
    <w:rsid w:val="65631E97"/>
    <w:rsid w:val="65633E99"/>
    <w:rsid w:val="65734A98"/>
    <w:rsid w:val="658D42FA"/>
    <w:rsid w:val="665D7809"/>
    <w:rsid w:val="66EB5CF6"/>
    <w:rsid w:val="672B2DB9"/>
    <w:rsid w:val="673719E9"/>
    <w:rsid w:val="676141A1"/>
    <w:rsid w:val="678E2DE0"/>
    <w:rsid w:val="68242302"/>
    <w:rsid w:val="6828533C"/>
    <w:rsid w:val="68382F15"/>
    <w:rsid w:val="68DB0209"/>
    <w:rsid w:val="69B4744D"/>
    <w:rsid w:val="69DF509C"/>
    <w:rsid w:val="6A2B07F8"/>
    <w:rsid w:val="6A756D57"/>
    <w:rsid w:val="6AA71FE5"/>
    <w:rsid w:val="6AA942DD"/>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22B2CA3"/>
    <w:rsid w:val="737E26B8"/>
    <w:rsid w:val="73F52624"/>
    <w:rsid w:val="74ED4BCF"/>
    <w:rsid w:val="75873776"/>
    <w:rsid w:val="75E23E95"/>
    <w:rsid w:val="76EC3DC3"/>
    <w:rsid w:val="76F81603"/>
    <w:rsid w:val="772D334F"/>
    <w:rsid w:val="77BF3A5A"/>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character" w:customStyle="1" w:styleId="16">
    <w:name w:val="font11"/>
    <w:basedOn w:val="11"/>
    <w:qFormat/>
    <w:uiPriority w:val="0"/>
    <w:rPr>
      <w:rFonts w:hint="eastAsia" w:ascii="宋体" w:hAnsi="宋体" w:eastAsia="宋体" w:cs="宋体"/>
      <w:color w:val="000000"/>
      <w:sz w:val="22"/>
      <w:szCs w:val="22"/>
      <w:u w:val="none"/>
    </w:rPr>
  </w:style>
  <w:style w:type="character" w:customStyle="1" w:styleId="17">
    <w:name w:val="font01"/>
    <w:basedOn w:val="1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2021-10-13T12:51:47Z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6CCE958BA6F34CDA828CD483BA033887</vt:lpwstr>
  </property>
</Properties>
</file>