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炼钢部一连铸年检大修外委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27</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XLG</w:t>
      </w:r>
      <w:r>
        <w:rPr>
          <w:rFonts w:hint="eastAsia" w:ascii="宋体" w:hAnsi="宋体" w:cs="宋体"/>
          <w:sz w:val="24"/>
          <w:szCs w:val="24"/>
        </w:rPr>
        <w:t>20</w:t>
      </w:r>
      <w:r>
        <w:rPr>
          <w:rFonts w:hint="eastAsia" w:ascii="宋体" w:hAnsi="宋体" w:cs="宋体"/>
          <w:sz w:val="24"/>
          <w:szCs w:val="24"/>
          <w:lang w:val="en-US" w:eastAsia="zh-CN"/>
        </w:rPr>
        <w:t>21102719YLZNJDXWW</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cs="宋体"/>
          <w:bCs/>
          <w:color w:val="FF0000"/>
          <w:kern w:val="0"/>
          <w:sz w:val="24"/>
          <w:szCs w:val="24"/>
          <w:lang w:eastAsia="zh-CN"/>
        </w:rPr>
        <w:t>炼钢部一连铸年检大修外委</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17</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11</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10</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炼钢部一连铸年检大修外委</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炼钢部一连铸年检大修外委</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sz w:val="24"/>
          <w:szCs w:val="24"/>
        </w:rPr>
      </w:pPr>
      <w:r>
        <w:rPr>
          <w:rFonts w:hint="eastAsia" w:ascii="宋体" w:hAnsi="宋体"/>
          <w:sz w:val="24"/>
          <w:szCs w:val="24"/>
        </w:rPr>
        <w:t xml:space="preserve">招标办：       </w:t>
      </w:r>
      <w:r>
        <w:rPr>
          <w:rFonts w:hint="eastAsia" w:ascii="宋体" w:hAnsi="宋体"/>
          <w:sz w:val="24"/>
          <w:szCs w:val="24"/>
          <w:lang w:eastAsia="zh-CN"/>
        </w:rPr>
        <w:t>谢</w:t>
      </w:r>
      <w:r>
        <w:rPr>
          <w:rFonts w:hint="eastAsia" w:ascii="宋体" w:hAnsi="宋体"/>
          <w:sz w:val="24"/>
          <w:szCs w:val="24"/>
        </w:rPr>
        <w:t xml:space="preserve">  工   18055375917</w:t>
      </w:r>
    </w:p>
    <w:p>
      <w:pPr>
        <w:ind w:firstLine="600" w:firstLineChars="250"/>
        <w:rPr>
          <w:rFonts w:hint="default" w:ascii="宋体" w:hAnsi="宋体"/>
          <w:strike/>
          <w:dstrike w:val="0"/>
          <w:color w:val="00B0F0"/>
          <w:sz w:val="24"/>
          <w:szCs w:val="24"/>
          <w:lang w:val="en-US" w:eastAsia="zh-CN"/>
        </w:rPr>
      </w:pPr>
      <w:r>
        <w:rPr>
          <w:rFonts w:hint="eastAsia" w:ascii="宋体" w:hAnsi="宋体"/>
          <w:sz w:val="24"/>
          <w:szCs w:val="24"/>
        </w:rPr>
        <w:t xml:space="preserve">生产管理部：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王  工   </w:t>
      </w:r>
      <w:r>
        <w:rPr>
          <w:rFonts w:hint="eastAsia" w:ascii="宋体" w:hAnsi="宋体"/>
          <w:strike w:val="0"/>
          <w:dstrike w:val="0"/>
          <w:color w:val="auto"/>
          <w:sz w:val="24"/>
          <w:szCs w:val="24"/>
          <w:lang w:val="en-US" w:eastAsia="zh-CN"/>
        </w:rPr>
        <w:t>15005536106</w:t>
      </w:r>
    </w:p>
    <w:p>
      <w:pPr>
        <w:ind w:firstLine="600" w:firstLineChars="250"/>
        <w:rPr>
          <w:rFonts w:hint="eastAsia" w:ascii="宋体" w:hAnsi="宋体"/>
          <w:sz w:val="24"/>
          <w:szCs w:val="24"/>
        </w:rPr>
      </w:pPr>
      <w:r>
        <w:rPr>
          <w:rFonts w:hint="eastAsia" w:ascii="宋体" w:hAnsi="宋体"/>
          <w:sz w:val="24"/>
          <w:szCs w:val="24"/>
          <w:lang w:val="en-US" w:eastAsia="zh-CN"/>
        </w:rPr>
        <w:t>炼钢部</w:t>
      </w:r>
      <w:r>
        <w:rPr>
          <w:rFonts w:hint="eastAsia" w:ascii="宋体" w:hAnsi="宋体"/>
          <w:sz w:val="24"/>
          <w:szCs w:val="24"/>
        </w:rPr>
        <w:t xml:space="preserve">：       </w:t>
      </w:r>
      <w:r>
        <w:rPr>
          <w:rFonts w:hint="eastAsia" w:ascii="宋体" w:hAnsi="宋体"/>
          <w:sz w:val="24"/>
          <w:szCs w:val="24"/>
          <w:lang w:eastAsia="zh-CN"/>
        </w:rPr>
        <w:t>范</w:t>
      </w:r>
      <w:r>
        <w:rPr>
          <w:rFonts w:hint="eastAsia" w:ascii="宋体" w:hAnsi="宋体"/>
          <w:sz w:val="24"/>
          <w:szCs w:val="24"/>
        </w:rPr>
        <w:t xml:space="preserve">  工   17775299036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 户 行：</w:t>
      </w:r>
      <w:r>
        <w:rPr>
          <w:rFonts w:hint="eastAsia" w:ascii="宋体" w:hAnsi="宋体"/>
          <w:bCs/>
          <w:sz w:val="24"/>
          <w:szCs w:val="24"/>
          <w:lang w:eastAsia="zh-CN"/>
        </w:rPr>
        <w:t>中国工商银行芜湖环城路支行</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w:t>
      </w:r>
      <w:r>
        <w:rPr>
          <w:rFonts w:hint="eastAsia" w:ascii="宋体" w:hAnsi="宋体"/>
          <w:sz w:val="24"/>
          <w:szCs w:val="24"/>
          <w:lang w:val="en-US" w:eastAsia="zh-CN"/>
        </w:rPr>
        <w:t>29</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联 系 人：</w:t>
      </w:r>
      <w:r>
        <w:rPr>
          <w:rFonts w:hint="eastAsia" w:ascii="宋体" w:hAnsi="宋体" w:eastAsia="宋体" w:cs="宋体"/>
          <w:i w:val="0"/>
          <w:caps w:val="0"/>
          <w:color w:val="2A2A2A"/>
          <w:spacing w:val="0"/>
          <w:sz w:val="24"/>
          <w:szCs w:val="24"/>
          <w:shd w:val="clear" w:fill="FFFFFF"/>
        </w:rPr>
        <w:t>谢金林</w:t>
      </w:r>
      <w:r>
        <w:rPr>
          <w:rFonts w:hint="eastAsia"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邮    箱：</w:t>
      </w:r>
      <w:r>
        <w:rPr>
          <w:rFonts w:hint="eastAsia" w:ascii="宋体" w:hAnsi="宋体" w:cs="宋体"/>
          <w:i w:val="0"/>
          <w:caps w:val="0"/>
          <w:color w:val="2A2A2A"/>
          <w:spacing w:val="0"/>
          <w:sz w:val="24"/>
          <w:szCs w:val="24"/>
          <w:shd w:val="clear" w:fill="FFFFFF"/>
          <w:lang w:eastAsia="zh-CN"/>
        </w:rPr>
        <w:t>whxxzg001@qq.com</w:t>
      </w: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肆万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11</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04</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default"/>
          <w:lang w:val="en-US"/>
        </w:rPr>
      </w:pPr>
      <w:r>
        <w:rPr>
          <w:rFonts w:hint="eastAsia" w:ascii="宋体" w:hAnsi="宋体" w:eastAsia="宋体" w:cs="宋体"/>
          <w:b/>
          <w:bCs w:val="0"/>
          <w:color w:val="FF0000"/>
          <w:sz w:val="24"/>
          <w:szCs w:val="24"/>
          <w:lang w:val="en-US" w:eastAsia="zh-CN"/>
        </w:rPr>
        <w:t>中标单位需缴纳60万安全保</w:t>
      </w:r>
      <w:r>
        <w:rPr>
          <w:rFonts w:hint="eastAsia" w:ascii="宋体" w:hAnsi="宋体" w:cs="宋体"/>
          <w:b/>
          <w:bCs w:val="0"/>
          <w:color w:val="FF0000"/>
          <w:sz w:val="24"/>
          <w:szCs w:val="24"/>
          <w:lang w:val="en-US" w:eastAsia="zh-CN"/>
        </w:rPr>
        <w:t>障</w:t>
      </w:r>
      <w:r>
        <w:rPr>
          <w:rFonts w:hint="eastAsia" w:ascii="宋体" w:hAnsi="宋体" w:eastAsia="宋体" w:cs="宋体"/>
          <w:b/>
          <w:bCs w:val="0"/>
          <w:color w:val="FF0000"/>
          <w:sz w:val="24"/>
          <w:szCs w:val="24"/>
          <w:lang w:val="en-US" w:eastAsia="zh-CN"/>
        </w:rPr>
        <w:t>金</w:t>
      </w:r>
      <w:r>
        <w:rPr>
          <w:rFonts w:hint="eastAsia" w:ascii="宋体" w:hAnsi="宋体" w:cs="宋体"/>
          <w:b/>
          <w:bCs w:val="0"/>
          <w:color w:val="FF0000"/>
          <w:sz w:val="24"/>
          <w:szCs w:val="24"/>
          <w:lang w:val="en-US" w:eastAsia="zh-CN"/>
        </w:rPr>
        <w:t>或保函</w:t>
      </w:r>
      <w:r>
        <w:rPr>
          <w:rFonts w:hint="eastAsia" w:ascii="宋体" w:hAnsi="宋体" w:cs="宋体"/>
          <w:b/>
          <w:bCs w:val="0"/>
          <w:sz w:val="24"/>
          <w:szCs w:val="24"/>
          <w:lang w:val="en-US" w:eastAsia="zh-CN"/>
        </w:rPr>
        <w:t>。</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tabs>
          <w:tab w:val="left" w:pos="735"/>
        </w:tabs>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炼钢部一连铸有入选检修项目外委：</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结晶器振动装置更换，数量8套，包含振动框架，配套结晶器进回水金属软管、液压油缸、本体润滑管道、分配器，护板及钢结构等更换恢复；要求：振动框架施工完毕后，结晶器安装无错位泄漏，流间距中心线及外弧线偏移在±0.5mm以内，基准面高度偏差在1mm以内。</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2.二冷喷淋装置改造更换，数量10个流，包含喷淋安装架改造更换，气雾型喷淋集管定位安装，二冷水二冷风连接接头更换等；要求：按照普优结合二冷喷淋系统改造方案图施工，设备安装精度达到图纸要求。</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二冷水气阀组装置，数量10个流分支二冷水风阀组及主管道，具体包含①二冷分支管道阀门、控制器、流量计更换（包含电气放线，仪表柜安装等）；②二冷水主过滤器改造更换；③二冷风主管道安装过滤器（包含电气）；④二冷风分支管道阀门及压力表等更换；⑤、二冷水、二冷风管道疏通补焊；</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导向段设备，具体包括：10个流导向段辊子改造更换，导一导二安装底座改造更换，导三导四下导向段本体钢梁更换，末端电搅移动底座安装，隔热罩安装，导辊润滑配管及冷却水管恢复，结晶器下口至拉矫机校弧等；要求最终外弧线辊面偏差在±1mm以内，引锭杆能够进入结晶器铜管内。</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5.电搅系统，具体包括：10个流首末端电搅穿线管、水冷管、桥架、电缆、电搅安装恢复，水冷站水箱清理，水泵、换热器、阀门、流量计等更换；</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钢结构项目，具体包括：①导一导二及喷淋安装底座横梁4根更换；②振动检修平台二冷室内主横梁移位改造更换，辅梁及平台钢板更换，耐火砖敷设，主挡墙上部改造；③二冷室内导一段走台更换；施工土建加固部分由施工单位负责。</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7.切后运输辊道，具体包括：切后二组，运输一组、二组、三组辊道梁共更换20组辊道梁，线下装配及更换，调整；配套润滑配管、水配管、燕尾槽更换，平台恢复；传动装置更换5套。</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8.出坯热送,具体包括：6-10流出坯升降大轴更换，四套轴承座底部加固；辊底座从喷号一直到轧钢底座更换40个底座配套更换7个热送辊及油路恢复。出坯液压站管道改造，具体包括：Φ76的不锈钢水管4根，Φ42和Φ34的液压不锈钢管道15根。注：液压管道改造后需要按要求进行本体冲洗。</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9.引锭存放：10组引锭存放支架更换及托辊更换，冷却管道恢复；调整引锭辊子弧线。</w:t>
      </w:r>
    </w:p>
    <w:p>
      <w:pPr>
        <w:tabs>
          <w:tab w:val="left" w:pos="735"/>
        </w:tabs>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10.施工所需主材备品备件、钢材类、紧固件、油品等由炼钢部负责提供，焊料、油漆等辅材类由应标单位提供。施工所需工器具如焊机、割枪割带、手拉葫芦、吊具,安全防护类物资等由应标单位自主负责，工程车辆由应标单位自主负责。</w:t>
      </w:r>
    </w:p>
    <w:p>
      <w:pPr>
        <w:tabs>
          <w:tab w:val="left" w:pos="735"/>
        </w:tabs>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11.要求投标单位具有且不得低于如下资质等级：机电工程施工总包叁级。</w:t>
      </w:r>
    </w:p>
    <w:p>
      <w:pPr>
        <w:tabs>
          <w:tab w:val="left" w:pos="735"/>
        </w:tabs>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cs="宋体"/>
          <w:sz w:val="24"/>
          <w:szCs w:val="24"/>
          <w:lang w:val="en-US" w:eastAsia="zh-CN"/>
        </w:rPr>
        <w:t>其他详见附件技术要求。</w:t>
      </w:r>
    </w:p>
    <w:p>
      <w:pPr>
        <w:rPr>
          <w:rFonts w:hint="default" w:ascii="宋体" w:hAnsi="宋体" w:eastAsia="宋体" w:cs="宋体"/>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27日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r>
        <w:br w:type="page"/>
      </w:r>
      <w:bookmarkStart w:id="0" w:name="_GoBack"/>
      <w:bookmarkEnd w:id="0"/>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jc w:val="center"/>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4"/>
          <w:szCs w:val="24"/>
          <w:u w:val="single"/>
          <w:lang w:eastAsia="zh-CN"/>
        </w:rPr>
        <w:t>whxxzg001@qq.com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A3145"/>
    <w:rsid w:val="16AF0386"/>
    <w:rsid w:val="171C6697"/>
    <w:rsid w:val="17A47DC6"/>
    <w:rsid w:val="17D57CB5"/>
    <w:rsid w:val="17F201CC"/>
    <w:rsid w:val="18285AE9"/>
    <w:rsid w:val="18860A73"/>
    <w:rsid w:val="18CB096F"/>
    <w:rsid w:val="18CC38A1"/>
    <w:rsid w:val="191276F1"/>
    <w:rsid w:val="19775B0D"/>
    <w:rsid w:val="19A40C16"/>
    <w:rsid w:val="1A6E6EF3"/>
    <w:rsid w:val="1A722489"/>
    <w:rsid w:val="1ACF266A"/>
    <w:rsid w:val="1B84742C"/>
    <w:rsid w:val="1BA45DED"/>
    <w:rsid w:val="1BA766F5"/>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F4566A"/>
    <w:rsid w:val="280D1ED2"/>
    <w:rsid w:val="2817243D"/>
    <w:rsid w:val="28843743"/>
    <w:rsid w:val="289C1B61"/>
    <w:rsid w:val="28EB5CB1"/>
    <w:rsid w:val="292148DF"/>
    <w:rsid w:val="29F46B06"/>
    <w:rsid w:val="2A815E5E"/>
    <w:rsid w:val="2A8C390C"/>
    <w:rsid w:val="2B793E86"/>
    <w:rsid w:val="2BAE7996"/>
    <w:rsid w:val="2BB743A2"/>
    <w:rsid w:val="2C245253"/>
    <w:rsid w:val="2C2B713C"/>
    <w:rsid w:val="2C683358"/>
    <w:rsid w:val="2CFB13EC"/>
    <w:rsid w:val="2D352516"/>
    <w:rsid w:val="2D5646CB"/>
    <w:rsid w:val="2D9D4FB9"/>
    <w:rsid w:val="2DBF4A5D"/>
    <w:rsid w:val="2E5349E3"/>
    <w:rsid w:val="2FD01EFE"/>
    <w:rsid w:val="305B5D9E"/>
    <w:rsid w:val="30DD5200"/>
    <w:rsid w:val="32372CC9"/>
    <w:rsid w:val="32BF0EBF"/>
    <w:rsid w:val="33732D94"/>
    <w:rsid w:val="33A6746D"/>
    <w:rsid w:val="342771D5"/>
    <w:rsid w:val="34BF11CB"/>
    <w:rsid w:val="35FF4D01"/>
    <w:rsid w:val="36363A60"/>
    <w:rsid w:val="366D00F1"/>
    <w:rsid w:val="37232FDA"/>
    <w:rsid w:val="37B028C1"/>
    <w:rsid w:val="38760B30"/>
    <w:rsid w:val="38DD474A"/>
    <w:rsid w:val="3AC54E7F"/>
    <w:rsid w:val="3AF836DB"/>
    <w:rsid w:val="3B79579C"/>
    <w:rsid w:val="3B95751B"/>
    <w:rsid w:val="3BA87B84"/>
    <w:rsid w:val="3BBC7E07"/>
    <w:rsid w:val="3E204689"/>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7A877F1"/>
    <w:rsid w:val="48333AA2"/>
    <w:rsid w:val="484E7674"/>
    <w:rsid w:val="485B666D"/>
    <w:rsid w:val="494C7045"/>
    <w:rsid w:val="497E6528"/>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4537154"/>
    <w:rsid w:val="556F09F4"/>
    <w:rsid w:val="56B45E5E"/>
    <w:rsid w:val="56C25E8F"/>
    <w:rsid w:val="57142BEB"/>
    <w:rsid w:val="57242DF9"/>
    <w:rsid w:val="57F7037F"/>
    <w:rsid w:val="587765FD"/>
    <w:rsid w:val="595D3CE6"/>
    <w:rsid w:val="599C777D"/>
    <w:rsid w:val="59CB76E9"/>
    <w:rsid w:val="59CD70F7"/>
    <w:rsid w:val="59F76C1F"/>
    <w:rsid w:val="5A3E0903"/>
    <w:rsid w:val="5A7A341B"/>
    <w:rsid w:val="5A7B6332"/>
    <w:rsid w:val="5D0A43B3"/>
    <w:rsid w:val="5D956282"/>
    <w:rsid w:val="5E0A70BC"/>
    <w:rsid w:val="5F1464C5"/>
    <w:rsid w:val="60730126"/>
    <w:rsid w:val="612D253D"/>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3253B7"/>
    <w:rsid w:val="68DB0209"/>
    <w:rsid w:val="69B4744D"/>
    <w:rsid w:val="69DF509C"/>
    <w:rsid w:val="6A756D57"/>
    <w:rsid w:val="6AA71FE5"/>
    <w:rsid w:val="6B48181B"/>
    <w:rsid w:val="6C61271C"/>
    <w:rsid w:val="6C95559B"/>
    <w:rsid w:val="6CE31470"/>
    <w:rsid w:val="6CE86732"/>
    <w:rsid w:val="6D850E50"/>
    <w:rsid w:val="6DF805AD"/>
    <w:rsid w:val="6E225F22"/>
    <w:rsid w:val="6EC63D6E"/>
    <w:rsid w:val="6F091E0B"/>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909064A"/>
    <w:rsid w:val="793B5A38"/>
    <w:rsid w:val="794D7439"/>
    <w:rsid w:val="7A136C4E"/>
    <w:rsid w:val="7A564214"/>
    <w:rsid w:val="7ADC3761"/>
    <w:rsid w:val="7B175C93"/>
    <w:rsid w:val="7B3E33D5"/>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2021-10-27T04:36:31Z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