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产品商检（水尺计重）项目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12</w:t>
      </w:r>
      <w:r>
        <w:rPr>
          <w:rFonts w:ascii="宋体" w:hAnsi="宋体"/>
          <w:color w:val="000000"/>
        </w:rPr>
        <w:t>月</w:t>
      </w:r>
      <w:r>
        <w:rPr>
          <w:rFonts w:hint="eastAsia" w:ascii="宋体" w:hAnsi="宋体"/>
          <w:color w:val="000000"/>
          <w:lang w:val="en-US" w:eastAsia="zh-CN"/>
        </w:rPr>
        <w:t>8</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YSQC202012024CPSJSCJZ</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产品商检（水尺计重）项目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芜湖新兴铸管需水尺计重的船舶到芜湖三山区港口（三山港口、海螺港务、东汇港务）进行水尺计重。</w:t>
      </w:r>
    </w:p>
    <w:p>
      <w:pPr>
        <w:spacing w:line="300" w:lineRule="auto"/>
        <w:ind w:firstLine="600"/>
        <w:rPr>
          <w:rFonts w:hint="default" w:ascii="宋体" w:hAnsi="宋体"/>
          <w:b w:val="0"/>
          <w:bCs/>
          <w:color w:val="auto"/>
          <w:lang w:val="en-US" w:eastAsia="zh-CN"/>
        </w:rPr>
      </w:pPr>
      <w:r>
        <w:rPr>
          <w:rFonts w:hint="eastAsia" w:ascii="宋体" w:hAnsi="宋体"/>
          <w:b w:val="0"/>
          <w:bCs/>
          <w:color w:val="auto"/>
          <w:lang w:val="en-US" w:eastAsia="zh-CN"/>
        </w:rPr>
        <w:t>投标单位需具备：中国合格评定国家认可委员会检验机构认可证书；进出口商品检验鉴定机构资格证书。</w:t>
      </w:r>
    </w:p>
    <w:p>
      <w:pPr>
        <w:spacing w:line="300" w:lineRule="auto"/>
        <w:ind w:firstLine="600"/>
        <w:rPr>
          <w:rFonts w:hint="default" w:ascii="宋体" w:hAnsi="宋体"/>
          <w:b w:val="0"/>
          <w:bCs/>
          <w:color w:val="auto"/>
          <w:lang w:val="en-US" w:eastAsia="zh-CN"/>
        </w:rPr>
      </w:pPr>
      <w:r>
        <w:rPr>
          <w:rFonts w:hint="eastAsia" w:ascii="宋体" w:hAnsi="宋体"/>
          <w:b w:val="0"/>
          <w:bCs/>
          <w:color w:val="auto"/>
          <w:lang w:val="en-US" w:eastAsia="zh-CN"/>
        </w:rPr>
        <w:t>合同期：2021年1月1日至2021年12月31日</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俞  工  </w:t>
      </w:r>
      <w:r>
        <w:rPr>
          <w:rFonts w:hint="eastAsia" w:ascii="宋体" w:hAnsi="宋体"/>
        </w:rPr>
        <w:t xml:space="preserve">   </w:t>
      </w:r>
      <w:r>
        <w:rPr>
          <w:rFonts w:hint="eastAsia" w:ascii="宋体" w:hAnsi="宋体"/>
          <w:lang w:val="en-US" w:eastAsia="zh-CN"/>
        </w:rPr>
        <w:t xml:space="preserve"> 13515530252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14</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18</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14</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1.检验工作中</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对中标单位提供必要协助。</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及时将船名、预抵港时间通知中标单位，以便中标单位做好准备工作。</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有权监督中标单位的水尺计重工作，按国家标准全船水尺计重误差不超过±5‰，如超出正常误差，</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有权提出异议，可要求中标单位复核。</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.中标单位有权要求</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提供详细、真实的文件和信息。</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.中标单位必须向</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提供优质的服务，检验质量符合计量认证有关要求，检验报告书及时通知并交给芜湖新兴铸管签收。</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.中标单位有权要求</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提前告知计划，当船舶在港装/卸货时，中标单位水尺计重人员应提前登轮，与芜湖新兴铸管、船方一起观测水尺，测量水、油舱，并做好记录，计算出船舶常数、实际载货量。</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.若</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临时通知中标单位水尺计重，给中标单位水尺计重人员最少在4小时内赶到现场的时间。</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.中标单位水尺计重人员要认真、如实地填制《水尺计重证书》、《水尺计重记录单》，并提供芜湖新兴铸管一份。</w:t>
      </w:r>
    </w:p>
    <w:p>
      <w:pPr>
        <w:spacing w:line="240" w:lineRule="auto"/>
        <w:ind w:firstLine="420" w:firstLineChars="0"/>
        <w:rPr>
          <w:rFonts w:hint="eastAsia" w:ascii="宋体" w:hAnsi="宋体"/>
          <w:b/>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.中标单位在与</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、船方办理水尺交接时，船方大副须在《水尺计重证书》、《水尺计重记录单》上签字确认水尺计重结果，如船方大副拒绝签字，中标单位应立即通知</w:t>
      </w:r>
      <w:r>
        <w:rPr>
          <w:rFonts w:hint="eastAsia" w:ascii="宋体" w:hAnsi="宋体" w:cs="宋体"/>
          <w:color w:val="auto"/>
          <w:sz w:val="24"/>
          <w:szCs w:val="24"/>
          <w:lang w:val="en-US" w:eastAsia="zh-CN"/>
        </w:rPr>
        <w:t>我公司</w:t>
      </w:r>
      <w:r>
        <w:rPr>
          <w:rFonts w:hint="eastAsia" w:ascii="宋体" w:hAnsi="宋体" w:eastAsia="宋体" w:cs="宋体"/>
          <w:color w:val="auto"/>
          <w:sz w:val="24"/>
          <w:szCs w:val="24"/>
          <w:lang w:val="en-US" w:eastAsia="zh-CN"/>
        </w:rPr>
        <w:t>；中标单位对船方拒绝签字不承担责任。</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水尺计重作业费用报价（适用税率</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tbl>
      <w:tblPr>
        <w:tblStyle w:val="8"/>
        <w:tblW w:w="8917" w:type="dxa"/>
        <w:tblInd w:w="117" w:type="dxa"/>
        <w:tblBorders>
          <w:top w:val="single" w:color="212121" w:sz="6" w:space="0"/>
          <w:left w:val="single" w:color="212121" w:sz="6" w:space="0"/>
          <w:bottom w:val="single" w:color="212121" w:sz="6" w:space="0"/>
          <w:right w:val="single" w:color="212121" w:sz="6" w:space="0"/>
          <w:insideH w:val="single" w:color="212121" w:sz="6" w:space="0"/>
          <w:insideV w:val="single" w:color="212121" w:sz="6" w:space="0"/>
        </w:tblBorders>
        <w:tblLayout w:type="fixed"/>
        <w:tblCellMar>
          <w:top w:w="0" w:type="dxa"/>
          <w:left w:w="0" w:type="dxa"/>
          <w:bottom w:w="0" w:type="dxa"/>
          <w:right w:w="0" w:type="dxa"/>
        </w:tblCellMar>
      </w:tblPr>
      <w:tblGrid>
        <w:gridCol w:w="1220"/>
        <w:gridCol w:w="1160"/>
        <w:gridCol w:w="1437"/>
        <w:gridCol w:w="2383"/>
        <w:gridCol w:w="1220"/>
        <w:gridCol w:w="1497"/>
      </w:tblGrid>
      <w:tr>
        <w:tblPrEx>
          <w:tblBorders>
            <w:top w:val="single" w:color="212121" w:sz="6" w:space="0"/>
            <w:left w:val="single" w:color="212121" w:sz="6" w:space="0"/>
            <w:bottom w:val="single" w:color="212121" w:sz="6" w:space="0"/>
            <w:right w:val="single" w:color="212121" w:sz="6" w:space="0"/>
            <w:insideH w:val="single" w:color="212121" w:sz="6" w:space="0"/>
            <w:insideV w:val="single" w:color="212121" w:sz="6" w:space="0"/>
          </w:tblBorders>
          <w:tblCellMar>
            <w:top w:w="0" w:type="dxa"/>
            <w:left w:w="0" w:type="dxa"/>
            <w:bottom w:w="0" w:type="dxa"/>
            <w:right w:w="0" w:type="dxa"/>
          </w:tblCellMar>
        </w:tblPrEx>
        <w:trPr>
          <w:trHeight w:val="516" w:hRule="atLeast"/>
        </w:trPr>
        <w:tc>
          <w:tcPr>
            <w:tcW w:w="1220" w:type="dxa"/>
            <w:vAlign w:val="center"/>
          </w:tcPr>
          <w:p>
            <w:pPr>
              <w:bidi w:val="0"/>
              <w:jc w:val="center"/>
            </w:pPr>
            <w:r>
              <w:t>货物种类</w:t>
            </w:r>
          </w:p>
        </w:tc>
        <w:tc>
          <w:tcPr>
            <w:tcW w:w="1160" w:type="dxa"/>
            <w:vAlign w:val="center"/>
          </w:tcPr>
          <w:p>
            <w:pPr>
              <w:bidi w:val="0"/>
              <w:jc w:val="center"/>
            </w:pPr>
            <w:r>
              <w:t>检验项目</w:t>
            </w:r>
          </w:p>
        </w:tc>
        <w:tc>
          <w:tcPr>
            <w:tcW w:w="1437" w:type="dxa"/>
            <w:vAlign w:val="center"/>
          </w:tcPr>
          <w:p>
            <w:pPr>
              <w:bidi w:val="0"/>
              <w:jc w:val="center"/>
            </w:pPr>
            <w:r>
              <w:t>检验方法</w:t>
            </w:r>
          </w:p>
        </w:tc>
        <w:tc>
          <w:tcPr>
            <w:tcW w:w="2383" w:type="dxa"/>
            <w:vAlign w:val="center"/>
          </w:tcPr>
          <w:p>
            <w:pPr>
              <w:bidi w:val="0"/>
              <w:jc w:val="center"/>
            </w:pPr>
            <w:r>
              <w:t>检验工作时间段</w:t>
            </w:r>
          </w:p>
        </w:tc>
        <w:tc>
          <w:tcPr>
            <w:tcW w:w="1220" w:type="dxa"/>
            <w:vAlign w:val="center"/>
          </w:tcPr>
          <w:p>
            <w:pPr>
              <w:bidi w:val="0"/>
              <w:jc w:val="center"/>
            </w:pPr>
            <w:r>
              <w:t>检验地点</w:t>
            </w:r>
          </w:p>
        </w:tc>
        <w:tc>
          <w:tcPr>
            <w:tcW w:w="1497" w:type="dxa"/>
            <w:vAlign w:val="center"/>
          </w:tcPr>
          <w:p>
            <w:pPr>
              <w:bidi w:val="0"/>
              <w:jc w:val="center"/>
            </w:pPr>
            <w:r>
              <w:t>检验费用</w:t>
            </w:r>
          </w:p>
          <w:p>
            <w:pPr>
              <w:bidi w:val="0"/>
              <w:jc w:val="center"/>
            </w:pPr>
            <w:r>
              <w:t>（元/吨）</w:t>
            </w:r>
          </w:p>
        </w:tc>
      </w:tr>
      <w:tr>
        <w:tblPrEx>
          <w:tblBorders>
            <w:top w:val="single" w:color="212121" w:sz="6" w:space="0"/>
            <w:left w:val="single" w:color="212121" w:sz="6" w:space="0"/>
            <w:bottom w:val="single" w:color="212121" w:sz="6" w:space="0"/>
            <w:right w:val="single" w:color="212121" w:sz="6" w:space="0"/>
            <w:insideH w:val="single" w:color="212121" w:sz="6" w:space="0"/>
            <w:insideV w:val="single" w:color="212121" w:sz="6" w:space="0"/>
          </w:tblBorders>
          <w:tblCellMar>
            <w:top w:w="0" w:type="dxa"/>
            <w:left w:w="0" w:type="dxa"/>
            <w:bottom w:w="0" w:type="dxa"/>
            <w:right w:w="0" w:type="dxa"/>
          </w:tblCellMar>
        </w:tblPrEx>
        <w:trPr>
          <w:trHeight w:val="531" w:hRule="atLeast"/>
        </w:trPr>
        <w:tc>
          <w:tcPr>
            <w:tcW w:w="1220" w:type="dxa"/>
            <w:vAlign w:val="center"/>
          </w:tcPr>
          <w:p>
            <w:pPr>
              <w:bidi w:val="0"/>
              <w:jc w:val="center"/>
            </w:pPr>
            <w:r>
              <w:t>金属矿</w:t>
            </w:r>
          </w:p>
        </w:tc>
        <w:tc>
          <w:tcPr>
            <w:tcW w:w="1160" w:type="dxa"/>
            <w:vAlign w:val="center"/>
          </w:tcPr>
          <w:p>
            <w:pPr>
              <w:bidi w:val="0"/>
              <w:jc w:val="center"/>
            </w:pPr>
            <w:r>
              <w:t>重量</w:t>
            </w:r>
          </w:p>
        </w:tc>
        <w:tc>
          <w:tcPr>
            <w:tcW w:w="1437" w:type="dxa"/>
            <w:vAlign w:val="center"/>
          </w:tcPr>
          <w:p>
            <w:pPr>
              <w:bidi w:val="0"/>
              <w:jc w:val="center"/>
            </w:pPr>
            <w:r>
              <w:t>水尺计重</w:t>
            </w:r>
          </w:p>
        </w:tc>
        <w:tc>
          <w:tcPr>
            <w:tcW w:w="2383" w:type="dxa"/>
            <w:vAlign w:val="center"/>
          </w:tcPr>
          <w:p>
            <w:pPr>
              <w:bidi w:val="0"/>
              <w:jc w:val="center"/>
            </w:pPr>
            <w:r>
              <w:t>船舶靠泊起至卸货完毕</w:t>
            </w:r>
          </w:p>
        </w:tc>
        <w:tc>
          <w:tcPr>
            <w:tcW w:w="1220" w:type="dxa"/>
            <w:vAlign w:val="center"/>
          </w:tcPr>
          <w:p>
            <w:pPr>
              <w:bidi w:val="0"/>
              <w:jc w:val="center"/>
            </w:pPr>
            <w:r>
              <w:t>芜湖</w:t>
            </w:r>
          </w:p>
        </w:tc>
        <w:tc>
          <w:tcPr>
            <w:tcW w:w="1497" w:type="dxa"/>
            <w:vAlign w:val="center"/>
          </w:tcPr>
          <w:p>
            <w:pPr>
              <w:bidi w:val="0"/>
              <w:jc w:val="both"/>
            </w:pPr>
          </w:p>
        </w:tc>
      </w:tr>
    </w:tbl>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lang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lang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eastAsia="宋体" w:cs="宋体"/>
          <w:b w:val="0"/>
          <w:bCs w:val="0"/>
          <w:sz w:val="24"/>
          <w:szCs w:val="24"/>
          <w:lang w:val="en-US" w:eastAsia="zh-CN"/>
        </w:rPr>
      </w:pPr>
      <w:r>
        <w:rPr>
          <w:rFonts w:hint="eastAsia"/>
          <w:lang w:eastAsia="zh-CN"/>
        </w:rPr>
        <w:t>付款方式：月结，收票次月</w:t>
      </w:r>
      <w:r>
        <w:t>现汇付款</w:t>
      </w:r>
      <w:r>
        <w:rPr>
          <w:rFonts w:hint="eastAsia"/>
          <w:lang w:eastAsia="zh-CN"/>
        </w:rPr>
        <w:t>。</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12</w:t>
      </w:r>
      <w:r>
        <w:rPr>
          <w:rFonts w:ascii="宋体" w:hAnsi="宋体"/>
          <w:color w:val="auto"/>
          <w:sz w:val="24"/>
          <w:szCs w:val="24"/>
        </w:rPr>
        <w:t>月</w:t>
      </w:r>
      <w:r>
        <w:rPr>
          <w:rFonts w:hint="eastAsia" w:ascii="宋体" w:hAnsi="宋体"/>
          <w:color w:val="auto"/>
          <w:sz w:val="24"/>
          <w:szCs w:val="24"/>
          <w:lang w:val="en-US" w:eastAsia="zh-CN"/>
        </w:rPr>
        <w:t>8</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6AA6B17"/>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D0C47A4"/>
    <w:rsid w:val="3F114200"/>
    <w:rsid w:val="41417945"/>
    <w:rsid w:val="41DB42F4"/>
    <w:rsid w:val="454E4D64"/>
    <w:rsid w:val="4C62699D"/>
    <w:rsid w:val="513C3EF8"/>
    <w:rsid w:val="54180971"/>
    <w:rsid w:val="556B3A6A"/>
    <w:rsid w:val="589B3C10"/>
    <w:rsid w:val="5B2D6E0C"/>
    <w:rsid w:val="5DA113C7"/>
    <w:rsid w:val="5DA500D7"/>
    <w:rsid w:val="603E0EA5"/>
    <w:rsid w:val="607D1710"/>
    <w:rsid w:val="62CA5CF7"/>
    <w:rsid w:val="6D663618"/>
    <w:rsid w:val="71CE0F14"/>
    <w:rsid w:val="76892D68"/>
    <w:rsid w:val="77174D2F"/>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2020-12-08T06:50:05Z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