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w:t>
      </w:r>
      <w:r>
        <w:rPr>
          <w:rFonts w:hint="eastAsia" w:ascii="宋体" w:hAnsi="宋体"/>
          <w:b/>
          <w:sz w:val="36"/>
          <w:szCs w:val="36"/>
          <w:lang w:val="en-US" w:eastAsia="zh-CN"/>
        </w:rPr>
        <w:t>火警报警年度维保</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6</w:t>
      </w:r>
      <w:r>
        <w:rPr>
          <w:rFonts w:ascii="宋体" w:hAnsi="宋体"/>
          <w:color w:val="000000"/>
          <w:sz w:val="24"/>
          <w:szCs w:val="24"/>
        </w:rPr>
        <w:t>月</w:t>
      </w:r>
      <w:r>
        <w:rPr>
          <w:rFonts w:hint="eastAsia" w:ascii="宋体" w:hAnsi="宋体"/>
          <w:color w:val="000000"/>
          <w:sz w:val="24"/>
          <w:szCs w:val="24"/>
          <w:lang w:val="en-US" w:eastAsia="zh-CN"/>
        </w:rPr>
        <w:t>21</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2106021</w:t>
      </w:r>
      <w:bookmarkStart w:id="0" w:name="_GoBack"/>
      <w:bookmarkEnd w:id="0"/>
      <w:r>
        <w:rPr>
          <w:rFonts w:hint="eastAsia" w:ascii="宋体" w:hAnsi="宋体" w:cs="宋体"/>
          <w:sz w:val="24"/>
          <w:szCs w:val="24"/>
          <w:lang w:val="en-US" w:eastAsia="zh-CN"/>
        </w:rPr>
        <w:t>HZBJND</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2"/>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宋体" w:hAnsi="宋体" w:eastAsia="宋体" w:cs="宋体"/>
          <w:bCs/>
          <w:color w:val="FF0000"/>
          <w:kern w:val="0"/>
          <w:sz w:val="24"/>
          <w:szCs w:val="24"/>
          <w:lang w:val="en-US" w:eastAsia="zh-CN"/>
        </w:rPr>
        <w:t>火警报警年度维保</w:t>
      </w:r>
    </w:p>
    <w:p>
      <w:pPr>
        <w:jc w:val="both"/>
        <w:rPr>
          <w:rFonts w:hint="eastAsia" w:ascii="宋体" w:hAnsi="宋体" w:eastAsiaTheme="minorEastAsia" w:cstheme="minorBidi"/>
          <w:bCs/>
          <w:color w:val="FF0000"/>
          <w:sz w:val="24"/>
          <w:szCs w:val="24"/>
          <w:lang w:val="en-US" w:eastAsia="zh-CN"/>
        </w:rPr>
      </w:pP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2"/>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06</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21</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06</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29</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30</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2"/>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30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eastAsia="宋体" w:cs="宋体"/>
          <w:bCs/>
          <w:color w:val="FF0000"/>
          <w:kern w:val="0"/>
          <w:sz w:val="24"/>
          <w:szCs w:val="24"/>
          <w:lang w:val="en-US" w:eastAsia="zh-CN"/>
        </w:rPr>
        <w:t>火警报警年度维保</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eastAsiaTheme="minorEastAsia" w:cstheme="minorBidi"/>
          <w:bCs/>
          <w:color w:val="FF0000"/>
          <w:sz w:val="24"/>
          <w:szCs w:val="24"/>
          <w:lang w:val="en-US" w:eastAsia="zh-CN"/>
        </w:rPr>
      </w:pPr>
      <w:r>
        <w:rPr>
          <w:rFonts w:hint="eastAsia" w:ascii="宋体" w:hAnsi="宋体"/>
          <w:sz w:val="24"/>
          <w:szCs w:val="24"/>
        </w:rPr>
        <w:t>项目业务内容：</w:t>
      </w:r>
      <w:r>
        <w:rPr>
          <w:rFonts w:hint="eastAsia" w:ascii="宋体" w:hAnsi="宋体" w:eastAsia="宋体" w:cs="宋体"/>
          <w:bCs/>
          <w:color w:val="FF0000"/>
          <w:kern w:val="0"/>
          <w:sz w:val="24"/>
          <w:szCs w:val="24"/>
          <w:lang w:val="en-US" w:eastAsia="zh-CN"/>
        </w:rPr>
        <w:t>火警报警年度维保</w:t>
      </w:r>
    </w:p>
    <w:p>
      <w:pPr>
        <w:pStyle w:val="12"/>
        <w:widowControl/>
        <w:numPr>
          <w:ilvl w:val="0"/>
          <w:numId w:val="0"/>
        </w:numPr>
        <w:shd w:val="clear" w:color="auto" w:fill="FFFFFF"/>
        <w:spacing w:line="440" w:lineRule="exact"/>
        <w:ind w:left="482" w:leftChars="0"/>
        <w:rPr>
          <w:rFonts w:hint="default" w:ascii="宋体" w:hAnsi="宋体" w:eastAsia="宋体"/>
          <w:sz w:val="24"/>
          <w:szCs w:val="24"/>
          <w:lang w:val="en-US" w:eastAsia="zh-CN"/>
        </w:rPr>
      </w:pP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 xml:space="preserve">高卫卫    18315394200 </w:t>
      </w:r>
    </w:p>
    <w:p>
      <w:pPr>
        <w:ind w:firstLine="600" w:firstLineChars="250"/>
        <w:rPr>
          <w:rFonts w:hint="default"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许丹青    18955379180</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r>
        <w:rPr>
          <w:rFonts w:hint="eastAsia" w:cs="Times New Roman"/>
          <w:kern w:val="2"/>
          <w:sz w:val="24"/>
          <w:szCs w:val="24"/>
          <w:lang w:val="en-US" w:eastAsia="zh-CN" w:bidi="ar-SA"/>
        </w:rPr>
        <w:t>各事业部： 吕艳岭 15212206682  王成 18355393268  陆玲  15357888108  王志良 18355383601  陆玉环  18715535869  武进昌  18010753017  陶金 18019536958  王思  17775282672</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附件2：报名函、委托授权书、公平交易承诺函；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附件3：报价表</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壹万</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cs="宋体"/>
          <w:bCs/>
          <w:color w:val="7030A0"/>
          <w:sz w:val="24"/>
          <w:szCs w:val="24"/>
          <w:lang w:val="en-US" w:eastAsia="zh-CN"/>
        </w:rPr>
        <w:t>06</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29</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82" w:firstLineChars="200"/>
        <w:rPr>
          <w:rFonts w:hint="eastAsia"/>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3"/>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cs="宋体"/>
          <w:bCs/>
          <w:sz w:val="24"/>
          <w:szCs w:val="24"/>
          <w:lang w:val="en-US" w:eastAsia="zh-CN"/>
        </w:rPr>
        <w:t>验收合同后承揽方开具发票</w:t>
      </w:r>
      <w:r>
        <w:rPr>
          <w:rFonts w:hint="eastAsia" w:ascii="宋体" w:hAnsi="宋体" w:eastAsia="宋体" w:cs="宋体"/>
          <w:bCs/>
          <w:sz w:val="24"/>
          <w:szCs w:val="24"/>
        </w:rPr>
        <w:t>，发票入账三个月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w:t>
      </w:r>
      <w:r>
        <w:rPr>
          <w:rFonts w:hint="eastAsia" w:ascii="宋体" w:hAnsi="宋体" w:eastAsia="宋体" w:cs="宋体"/>
          <w:bCs/>
          <w:sz w:val="24"/>
          <w:szCs w:val="24"/>
        </w:rPr>
        <w:t>2万元及以下电汇，2万以上付承兑汇票</w:t>
      </w:r>
      <w:r>
        <w:rPr>
          <w:rFonts w:hint="eastAsia" w:ascii="宋体" w:hAnsi="宋体" w:cs="宋体"/>
          <w:bCs/>
          <w:sz w:val="24"/>
          <w:szCs w:val="24"/>
          <w:lang w:eastAsia="zh-CN"/>
        </w:rPr>
        <w:t>，</w:t>
      </w:r>
      <w:r>
        <w:rPr>
          <w:rFonts w:hint="eastAsia" w:ascii="宋体" w:hAnsi="宋体" w:cs="宋体"/>
          <w:bCs/>
          <w:sz w:val="24"/>
          <w:szCs w:val="24"/>
          <w:lang w:val="en-US" w:eastAsia="zh-CN"/>
        </w:rPr>
        <w:t>质保到期后支付</w:t>
      </w:r>
      <w:r>
        <w:rPr>
          <w:rFonts w:hint="eastAsia" w:ascii="宋体" w:hAnsi="宋体" w:eastAsia="宋体" w:cs="宋体"/>
          <w:bCs/>
          <w:sz w:val="24"/>
          <w:szCs w:val="24"/>
        </w:rPr>
        <w:t>。</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60</w:t>
      </w:r>
      <w:r>
        <w:rPr>
          <w:rFonts w:hint="eastAsia" w:ascii="宋体" w:hAnsi="宋体" w:eastAsia="宋体" w:cs="宋体"/>
          <w:sz w:val="24"/>
          <w:szCs w:val="24"/>
        </w:rPr>
        <w:t>分，质量</w:t>
      </w:r>
      <w:r>
        <w:rPr>
          <w:rFonts w:hint="eastAsia" w:ascii="宋体" w:hAnsi="宋体" w:cs="宋体"/>
          <w:sz w:val="24"/>
          <w:szCs w:val="24"/>
          <w:lang w:val="en-US" w:eastAsia="zh-CN"/>
        </w:rPr>
        <w:t>20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numPr>
          <w:ilvl w:val="0"/>
          <w:numId w:val="0"/>
        </w:numPr>
        <w:ind w:left="420" w:left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要求：</w:t>
      </w:r>
      <w:r>
        <w:rPr>
          <w:rFonts w:hint="eastAsia" w:cs="宋体"/>
          <w:sz w:val="24"/>
          <w:szCs w:val="24"/>
          <w:lang w:val="en-US" w:eastAsia="zh-CN"/>
        </w:rPr>
        <w:t>详见技术要求。</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cs="宋体"/>
          <w:sz w:val="24"/>
          <w:szCs w:val="24"/>
          <w:lang w:val="en-US" w:eastAsia="zh-CN"/>
        </w:rPr>
        <w:t>90万元（玖拾万元）</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06</w:t>
      </w:r>
      <w:r>
        <w:rPr>
          <w:rFonts w:hint="eastAsia" w:ascii="宋体" w:hAnsi="宋体" w:eastAsia="宋体" w:cs="宋体"/>
          <w:sz w:val="24"/>
          <w:szCs w:val="24"/>
        </w:rPr>
        <w:t>月</w:t>
      </w:r>
      <w:r>
        <w:rPr>
          <w:rFonts w:hint="eastAsia" w:ascii="宋体" w:hAnsi="宋体" w:cs="宋体"/>
          <w:sz w:val="24"/>
          <w:szCs w:val="24"/>
          <w:lang w:val="en-US" w:eastAsia="zh-CN"/>
        </w:rPr>
        <w:t>21日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numPr>
          <w:ilvl w:val="0"/>
          <w:numId w:val="0"/>
        </w:numPr>
        <w:ind w:left="420" w:leftChars="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附技术要求</w:t>
      </w:r>
      <w:r>
        <w:rPr>
          <w:rFonts w:hint="eastAsia" w:ascii="宋体" w:hAnsi="宋体" w:cs="宋体"/>
          <w:sz w:val="24"/>
          <w:szCs w:val="24"/>
          <w:lang w:val="en-US" w:eastAsia="zh-CN"/>
        </w:rPr>
        <w:t>：</w:t>
      </w:r>
    </w:p>
    <w:p>
      <w:pPr>
        <w:ind w:firstLine="560" w:firstLineChars="200"/>
        <w:rPr>
          <w:rFonts w:hint="eastAsia" w:ascii="宋体" w:hAnsi="宋体"/>
          <w:sz w:val="28"/>
          <w:szCs w:val="24"/>
        </w:rPr>
      </w:pPr>
      <w:r>
        <w:rPr>
          <w:rFonts w:hint="eastAsia" w:ascii="宋体" w:hAnsi="宋体"/>
          <w:sz w:val="28"/>
          <w:szCs w:val="24"/>
        </w:rPr>
        <w:t>维保内容：</w:t>
      </w:r>
    </w:p>
    <w:p>
      <w:pPr>
        <w:ind w:firstLine="560" w:firstLineChars="200"/>
        <w:rPr>
          <w:rFonts w:hint="default" w:ascii="宋体" w:hAnsi="宋体" w:eastAsia="宋体"/>
          <w:sz w:val="28"/>
          <w:szCs w:val="24"/>
          <w:lang w:val="en-US" w:eastAsia="zh-CN"/>
        </w:rPr>
      </w:pPr>
      <w:r>
        <w:rPr>
          <w:rFonts w:hint="eastAsia" w:ascii="宋体" w:hAnsi="宋体"/>
          <w:sz w:val="28"/>
          <w:szCs w:val="24"/>
        </w:rPr>
        <w:t>1、对芜湖新兴铸管（包含公司办公楼火灾自动报警、副楼气体自动灭火系统）厂区各部门火灾报警器进行维护保养，更换必要设备设施；</w:t>
      </w:r>
      <w:r>
        <w:rPr>
          <w:rFonts w:hint="eastAsia" w:ascii="宋体" w:hAnsi="宋体"/>
          <w:sz w:val="28"/>
          <w:szCs w:val="24"/>
          <w:lang w:val="en-US" w:eastAsia="zh-CN"/>
        </w:rPr>
        <w:t>参与投标单位需在社会消防技术服务信息系统中可查（网址：https://shhxf.119.gov.cn/）</w:t>
      </w:r>
    </w:p>
    <w:p>
      <w:pPr>
        <w:ind w:firstLine="560" w:firstLineChars="200"/>
        <w:rPr>
          <w:rFonts w:hint="eastAsia" w:ascii="宋体" w:hAnsi="宋体"/>
          <w:sz w:val="28"/>
          <w:szCs w:val="24"/>
        </w:rPr>
      </w:pPr>
      <w:r>
        <w:rPr>
          <w:rFonts w:hint="eastAsia" w:ascii="宋体" w:hAnsi="宋体"/>
          <w:sz w:val="28"/>
          <w:szCs w:val="24"/>
        </w:rPr>
        <w:t>2、设备维修完善后进入维保阶段，在维保阶段内如现场设备出现故障，承揽方需在24小时内给予处理，若故障较难解决，需在48小时内提供书面的解决方案；</w:t>
      </w:r>
    </w:p>
    <w:p>
      <w:pPr>
        <w:ind w:firstLine="560" w:firstLineChars="200"/>
        <w:rPr>
          <w:rFonts w:hint="eastAsia" w:ascii="宋体" w:hAnsi="宋体"/>
          <w:sz w:val="28"/>
          <w:szCs w:val="24"/>
        </w:rPr>
      </w:pPr>
      <w:r>
        <w:rPr>
          <w:rFonts w:hint="eastAsia" w:ascii="宋体" w:hAnsi="宋体"/>
          <w:sz w:val="28"/>
          <w:szCs w:val="24"/>
        </w:rPr>
        <w:t>3、火灾自动报警系统维修完善后，进入日常维保，每月度对现场报警点位进行清洗、维护、保养，并出具业主单位消防主管签字的月度维保报告。月度维保报告维保时间节点按单点设备修复完善后计算；</w:t>
      </w:r>
    </w:p>
    <w:p>
      <w:pPr>
        <w:ind w:firstLine="560" w:firstLineChars="200"/>
        <w:rPr>
          <w:rFonts w:hint="eastAsia" w:ascii="宋体" w:hAnsi="宋体"/>
          <w:sz w:val="28"/>
          <w:szCs w:val="24"/>
        </w:rPr>
      </w:pPr>
      <w:r>
        <w:rPr>
          <w:rFonts w:hint="eastAsia" w:ascii="宋体" w:hAnsi="宋体"/>
          <w:sz w:val="28"/>
          <w:szCs w:val="24"/>
        </w:rPr>
        <w:t>4、维修人员需熟知全厂火灾自动报警系统运行维护标准和区域探头分布明细，并对现场点位进行编号、记录；</w:t>
      </w:r>
    </w:p>
    <w:p>
      <w:pPr>
        <w:ind w:firstLine="560" w:firstLineChars="200"/>
        <w:rPr>
          <w:rFonts w:hint="eastAsia" w:ascii="宋体" w:hAnsi="宋体"/>
          <w:sz w:val="28"/>
          <w:szCs w:val="24"/>
        </w:rPr>
      </w:pPr>
      <w:r>
        <w:rPr>
          <w:rFonts w:hint="eastAsia" w:ascii="宋体" w:hAnsi="宋体"/>
          <w:sz w:val="28"/>
          <w:szCs w:val="24"/>
        </w:rPr>
        <w:t>5、承揽方每月度提供给发包方维保报告，并满足发包方在维保期内任意时间节点提出提供维保检测报告的要求，承揽方需在24小时内将报告交于发包方；</w:t>
      </w:r>
    </w:p>
    <w:p>
      <w:pPr>
        <w:ind w:firstLine="560" w:firstLineChars="200"/>
        <w:rPr>
          <w:rFonts w:hint="eastAsia" w:ascii="宋体" w:hAnsi="宋体"/>
          <w:sz w:val="28"/>
          <w:szCs w:val="24"/>
        </w:rPr>
      </w:pPr>
      <w:r>
        <w:rPr>
          <w:rFonts w:hint="eastAsia" w:ascii="宋体" w:hAnsi="宋体"/>
          <w:sz w:val="28"/>
          <w:szCs w:val="24"/>
        </w:rPr>
        <w:t>6、炼铁部3号高炉消防设施年久老化维保单位需将主机及配套设施更换；其它消防设备设施维保程序正常。</w:t>
      </w:r>
    </w:p>
    <w:p>
      <w:pPr>
        <w:ind w:firstLine="560" w:firstLineChars="200"/>
        <w:rPr>
          <w:rFonts w:hint="eastAsia"/>
          <w:sz w:val="28"/>
        </w:rPr>
      </w:pPr>
      <w:r>
        <w:rPr>
          <w:rFonts w:hint="eastAsia" w:ascii="宋体" w:hAnsi="宋体"/>
          <w:sz w:val="28"/>
          <w:szCs w:val="24"/>
        </w:rPr>
        <w:t>7、</w:t>
      </w:r>
      <w:r>
        <w:rPr>
          <w:rFonts w:hint="eastAsia"/>
          <w:sz w:val="28"/>
        </w:rPr>
        <w:t>保证各烟感、火灾报警器探头位置与主机显示位置一致，新更换的设备必须符合国家有关标准或市场准入的产品，提供相应的证件，现场端子箱内的设备、线路必须规范；</w:t>
      </w:r>
    </w:p>
    <w:p>
      <w:pPr>
        <w:ind w:firstLine="560" w:firstLineChars="200"/>
        <w:rPr>
          <w:rFonts w:hint="eastAsia"/>
          <w:sz w:val="28"/>
        </w:rPr>
      </w:pPr>
      <w:r>
        <w:rPr>
          <w:rFonts w:hint="eastAsia"/>
          <w:sz w:val="28"/>
        </w:rPr>
        <w:t>8、维保期内对烟感火灾、报警器的检测、维修、清洗、保养的所有主机、探头等，检测维保结束后协助提供维保台账；</w:t>
      </w:r>
    </w:p>
    <w:p>
      <w:pPr>
        <w:ind w:firstLine="560" w:firstLineChars="200"/>
        <w:rPr>
          <w:rFonts w:hint="eastAsia"/>
          <w:sz w:val="28"/>
        </w:rPr>
      </w:pPr>
      <w:r>
        <w:rPr>
          <w:rFonts w:hint="eastAsia"/>
          <w:sz w:val="28"/>
        </w:rPr>
        <w:t>9、对系统进行日常维修（含常用的备件材料），须达到使用技术要求；在规定时间内完成自动火灾报警系统的维保与检测工作，维保检测后的自动火灾报警系统须满足安全要求，并出具国家认可的专业检验检测报告。</w:t>
      </w:r>
    </w:p>
    <w:p>
      <w:pPr>
        <w:ind w:firstLine="560" w:firstLineChars="200"/>
        <w:rPr>
          <w:rFonts w:hint="eastAsia" w:ascii="宋体" w:hAnsi="宋体" w:eastAsia="宋体" w:cs="宋体"/>
          <w:sz w:val="24"/>
          <w:szCs w:val="24"/>
        </w:rPr>
      </w:pPr>
      <w:r>
        <w:rPr>
          <w:rFonts w:hint="eastAsia" w:ascii="宋体" w:hAnsi="宋体"/>
          <w:sz w:val="28"/>
          <w:szCs w:val="24"/>
        </w:rPr>
        <w:t>10、本次维保在上年基础上新增加副楼气体自动灭火系统、制氧站、煤气柜、各事业部部分高低压配电室、液压站火灾自动报警</w:t>
      </w:r>
      <w:r>
        <w:rPr>
          <w:rFonts w:hint="eastAsia" w:ascii="宋体" w:hAnsi="宋体"/>
          <w:sz w:val="28"/>
          <w:szCs w:val="24"/>
          <w:lang w:eastAsia="zh-CN"/>
        </w:rPr>
        <w:t>、</w:t>
      </w:r>
      <w:r>
        <w:rPr>
          <w:rFonts w:hint="eastAsia" w:ascii="宋体" w:hAnsi="宋体"/>
          <w:sz w:val="28"/>
          <w:szCs w:val="24"/>
          <w:lang w:val="en-US" w:eastAsia="zh-CN"/>
        </w:rPr>
        <w:t>弋江区专家楼火灾报警系统</w:t>
      </w:r>
      <w:r>
        <w:rPr>
          <w:rFonts w:hint="eastAsia" w:ascii="宋体" w:hAnsi="宋体"/>
          <w:sz w:val="28"/>
          <w:szCs w:val="24"/>
        </w:rPr>
        <w:t>等，其中烟感报警器870个，手动报警器626个，温感报警器245个，声光报警器193个，广播（扩音器）63个，电话35个，主机34个，可恢复式定温揽式探测器542个，显示盘15个，输入输出模块281个，温感模块127个，干粉气罐18个，手动消防栓42个，红外火焰探测器13个，喷淋头灭火弹761个。实际数据以现场确认为准参标单位可现场与各事业部交流）</w:t>
      </w:r>
      <w:r>
        <w:rPr>
          <w:rFonts w:hint="eastAsia" w:ascii="宋体" w:hAnsi="宋体"/>
          <w:sz w:val="28"/>
          <w:szCs w:val="24"/>
          <w:lang w:eastAsia="zh-CN"/>
        </w:rPr>
        <w:t>。</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cs="宋体"/>
          <w:sz w:val="24"/>
          <w:szCs w:val="24"/>
          <w:lang w:val="en-US" w:eastAsia="zh-CN"/>
        </w:rPr>
      </w:pPr>
      <w:r>
        <w:rPr>
          <w:rFonts w:hint="eastAsia" w:cs="宋体"/>
          <w:sz w:val="24"/>
          <w:szCs w:val="24"/>
          <w:lang w:val="en-US" w:eastAsia="zh-CN"/>
        </w:rPr>
        <w:t>附报价表</w:t>
      </w:r>
    </w:p>
    <w:tbl>
      <w:tblPr>
        <w:tblStyle w:val="9"/>
        <w:tblW w:w="10320" w:type="dxa"/>
        <w:tblInd w:w="93" w:type="dxa"/>
        <w:shd w:val="clear" w:color="auto" w:fill="auto"/>
        <w:tblLayout w:type="autofit"/>
        <w:tblCellMar>
          <w:top w:w="0" w:type="dxa"/>
          <w:left w:w="108" w:type="dxa"/>
          <w:bottom w:w="0" w:type="dxa"/>
          <w:right w:w="108" w:type="dxa"/>
        </w:tblCellMar>
      </w:tblPr>
      <w:tblGrid>
        <w:gridCol w:w="3225"/>
        <w:gridCol w:w="7095"/>
      </w:tblGrid>
      <w:tr>
        <w:tblPrEx>
          <w:tblCellMar>
            <w:top w:w="0" w:type="dxa"/>
            <w:left w:w="108" w:type="dxa"/>
            <w:bottom w:w="0" w:type="dxa"/>
            <w:right w:w="108" w:type="dxa"/>
          </w:tblCellMar>
        </w:tblPrEx>
        <w:trPr>
          <w:trHeight w:val="510" w:hRule="atLeast"/>
        </w:trPr>
        <w:tc>
          <w:tcPr>
            <w:tcW w:w="10320"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报价表</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含税总价（元）（小写）：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含税总价（元）（大写）：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投标单位名称：</w:t>
            </w:r>
          </w:p>
        </w:tc>
        <w:tc>
          <w:tcPr>
            <w:tcW w:w="7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7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总价包括人工费和来回运费</w:t>
            </w:r>
          </w:p>
        </w:tc>
      </w:tr>
    </w:tbl>
    <w:p>
      <w:pPr>
        <w:pStyle w:val="2"/>
        <w:rPr>
          <w:rFonts w:hint="default" w:cs="宋体"/>
          <w:sz w:val="24"/>
          <w:szCs w:val="24"/>
          <w:lang w:val="en-US" w:eastAsia="zh-CN"/>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rPr>
      </w:pPr>
    </w:p>
    <w:p>
      <w:pPr>
        <w:jc w:val="right"/>
        <w:rPr>
          <w:rFonts w:hint="eastAsia" w:ascii="宋体" w:hAnsi="宋体" w:cs="宋体"/>
          <w:b/>
          <w:bCs/>
          <w:sz w:val="28"/>
          <w:szCs w:val="28"/>
          <w:highlight w:val="yellow"/>
        </w:rPr>
      </w:pPr>
      <w:r>
        <w:rPr>
          <w: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9264;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t8GS1gAAAAcBAAAPAAAAAAAAAAEAIAAAACIAAABkcnMvZG93bnJldi54bWxQ&#10;SwECFAAUAAAACACHTuJArO84zcABAAB3AwAADgAAAAAAAAABACAAAAAlAQAAZHJzL2Uyb0RvYy54&#10;bWxQSwUGAAAAAAYABgBZAQAAVw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3CA2D70"/>
    <w:rsid w:val="03E609B6"/>
    <w:rsid w:val="049F7266"/>
    <w:rsid w:val="05055DEC"/>
    <w:rsid w:val="06223459"/>
    <w:rsid w:val="08772F32"/>
    <w:rsid w:val="08830E09"/>
    <w:rsid w:val="08E5761C"/>
    <w:rsid w:val="08E753D4"/>
    <w:rsid w:val="090B706D"/>
    <w:rsid w:val="093D70D3"/>
    <w:rsid w:val="096D41FC"/>
    <w:rsid w:val="09B22D37"/>
    <w:rsid w:val="0A0371ED"/>
    <w:rsid w:val="0A3C50D1"/>
    <w:rsid w:val="0A664E28"/>
    <w:rsid w:val="0A862F69"/>
    <w:rsid w:val="0AB5637B"/>
    <w:rsid w:val="0B7C138B"/>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40B7274"/>
    <w:rsid w:val="1410406F"/>
    <w:rsid w:val="14842D4B"/>
    <w:rsid w:val="1485679E"/>
    <w:rsid w:val="14C47DFB"/>
    <w:rsid w:val="153452FD"/>
    <w:rsid w:val="15817110"/>
    <w:rsid w:val="15852DCC"/>
    <w:rsid w:val="16194009"/>
    <w:rsid w:val="164104C8"/>
    <w:rsid w:val="16AF0386"/>
    <w:rsid w:val="171C6697"/>
    <w:rsid w:val="17A47DC6"/>
    <w:rsid w:val="17D57CB5"/>
    <w:rsid w:val="17F201CC"/>
    <w:rsid w:val="18285AE9"/>
    <w:rsid w:val="18CB096F"/>
    <w:rsid w:val="191276F1"/>
    <w:rsid w:val="19A40C16"/>
    <w:rsid w:val="1A6E6EF3"/>
    <w:rsid w:val="1A722489"/>
    <w:rsid w:val="1ACF266A"/>
    <w:rsid w:val="1BA45DED"/>
    <w:rsid w:val="1C983E3B"/>
    <w:rsid w:val="1CA3074D"/>
    <w:rsid w:val="1CB152F7"/>
    <w:rsid w:val="1D0022F2"/>
    <w:rsid w:val="1D326EDD"/>
    <w:rsid w:val="1D987856"/>
    <w:rsid w:val="1DBD6643"/>
    <w:rsid w:val="1DD83E28"/>
    <w:rsid w:val="1FCB0D17"/>
    <w:rsid w:val="201179AD"/>
    <w:rsid w:val="20D660B8"/>
    <w:rsid w:val="211B1181"/>
    <w:rsid w:val="22833DD5"/>
    <w:rsid w:val="249E0E19"/>
    <w:rsid w:val="25C530E1"/>
    <w:rsid w:val="26D6793C"/>
    <w:rsid w:val="27317CC6"/>
    <w:rsid w:val="27F4566A"/>
    <w:rsid w:val="280D1ED2"/>
    <w:rsid w:val="2817243D"/>
    <w:rsid w:val="289C1B61"/>
    <w:rsid w:val="292148DF"/>
    <w:rsid w:val="29F46B06"/>
    <w:rsid w:val="2A815E5E"/>
    <w:rsid w:val="2A8C390C"/>
    <w:rsid w:val="2B793E86"/>
    <w:rsid w:val="2BAE7996"/>
    <w:rsid w:val="2C245253"/>
    <w:rsid w:val="2C683358"/>
    <w:rsid w:val="2CFB13EC"/>
    <w:rsid w:val="2D352516"/>
    <w:rsid w:val="2D5646CB"/>
    <w:rsid w:val="2D9D4FB9"/>
    <w:rsid w:val="2DBF4A5D"/>
    <w:rsid w:val="2DC013BD"/>
    <w:rsid w:val="2E5349E3"/>
    <w:rsid w:val="2FD01EFE"/>
    <w:rsid w:val="305B5D9E"/>
    <w:rsid w:val="30DD5200"/>
    <w:rsid w:val="31284F6F"/>
    <w:rsid w:val="32336CB1"/>
    <w:rsid w:val="32372CC9"/>
    <w:rsid w:val="32BF0EBF"/>
    <w:rsid w:val="33732D94"/>
    <w:rsid w:val="342771D5"/>
    <w:rsid w:val="34BF11CB"/>
    <w:rsid w:val="359F45DF"/>
    <w:rsid w:val="35FF4D01"/>
    <w:rsid w:val="36363A60"/>
    <w:rsid w:val="38DD474A"/>
    <w:rsid w:val="3AF836DB"/>
    <w:rsid w:val="3B95751B"/>
    <w:rsid w:val="3BA87B84"/>
    <w:rsid w:val="3BBC7E07"/>
    <w:rsid w:val="3FD61736"/>
    <w:rsid w:val="3FE12F42"/>
    <w:rsid w:val="403D7860"/>
    <w:rsid w:val="41EF7E88"/>
    <w:rsid w:val="42616A08"/>
    <w:rsid w:val="42FC01EE"/>
    <w:rsid w:val="4306178B"/>
    <w:rsid w:val="434847B1"/>
    <w:rsid w:val="44115275"/>
    <w:rsid w:val="44D90ED7"/>
    <w:rsid w:val="45982D2E"/>
    <w:rsid w:val="45C50135"/>
    <w:rsid w:val="463C43C1"/>
    <w:rsid w:val="465156FA"/>
    <w:rsid w:val="46763632"/>
    <w:rsid w:val="46864C98"/>
    <w:rsid w:val="47A877F1"/>
    <w:rsid w:val="48333AA2"/>
    <w:rsid w:val="484E7674"/>
    <w:rsid w:val="485B666D"/>
    <w:rsid w:val="498450E0"/>
    <w:rsid w:val="4A894820"/>
    <w:rsid w:val="4AE32B65"/>
    <w:rsid w:val="4C0E0DDD"/>
    <w:rsid w:val="4C1075C9"/>
    <w:rsid w:val="4C2819A0"/>
    <w:rsid w:val="4C2B4433"/>
    <w:rsid w:val="4E933866"/>
    <w:rsid w:val="51281503"/>
    <w:rsid w:val="512E21B9"/>
    <w:rsid w:val="528E627F"/>
    <w:rsid w:val="53FD53B4"/>
    <w:rsid w:val="54015272"/>
    <w:rsid w:val="54065380"/>
    <w:rsid w:val="54A57B0D"/>
    <w:rsid w:val="556F09F4"/>
    <w:rsid w:val="56B45E5E"/>
    <w:rsid w:val="56C25E8F"/>
    <w:rsid w:val="57142BEB"/>
    <w:rsid w:val="57242DF9"/>
    <w:rsid w:val="57F7037F"/>
    <w:rsid w:val="587765FD"/>
    <w:rsid w:val="595D3CE6"/>
    <w:rsid w:val="59CB76E9"/>
    <w:rsid w:val="59F76C1F"/>
    <w:rsid w:val="5A3E0903"/>
    <w:rsid w:val="5A7A341B"/>
    <w:rsid w:val="5A7B6332"/>
    <w:rsid w:val="5D0A43B3"/>
    <w:rsid w:val="5D956282"/>
    <w:rsid w:val="5E0A70BC"/>
    <w:rsid w:val="5F1464C5"/>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42302"/>
    <w:rsid w:val="6828533C"/>
    <w:rsid w:val="68DB0209"/>
    <w:rsid w:val="69803E2B"/>
    <w:rsid w:val="69B4744D"/>
    <w:rsid w:val="69DF509C"/>
    <w:rsid w:val="6A756D57"/>
    <w:rsid w:val="6AA71FE5"/>
    <w:rsid w:val="6B48181B"/>
    <w:rsid w:val="6C152BF9"/>
    <w:rsid w:val="6C61271C"/>
    <w:rsid w:val="6C95559B"/>
    <w:rsid w:val="6CE31470"/>
    <w:rsid w:val="6CE86732"/>
    <w:rsid w:val="6DF805AD"/>
    <w:rsid w:val="6F091E0B"/>
    <w:rsid w:val="6F8F7262"/>
    <w:rsid w:val="70284B84"/>
    <w:rsid w:val="703303EB"/>
    <w:rsid w:val="703D15E5"/>
    <w:rsid w:val="7049466C"/>
    <w:rsid w:val="71A464BF"/>
    <w:rsid w:val="71A8122B"/>
    <w:rsid w:val="71F81EDF"/>
    <w:rsid w:val="737E26B8"/>
    <w:rsid w:val="74ED4BCF"/>
    <w:rsid w:val="76EC3DC3"/>
    <w:rsid w:val="772D334F"/>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3">
    <w:name w:val="p0"/>
    <w:basedOn w:val="1"/>
    <w:qFormat/>
    <w:uiPriority w:val="0"/>
    <w:pPr>
      <w:widowControl/>
    </w:pPr>
    <w:rPr>
      <w:kern w:val="0"/>
      <w:szCs w:val="21"/>
    </w:rPr>
  </w:style>
  <w:style w:type="paragraph" w:customStyle="1" w:styleId="14">
    <w:name w:val="_Style 3"/>
    <w:basedOn w:val="1"/>
    <w:next w:val="12"/>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3834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Administrator</cp:lastModifiedBy>
  <cp:lastPrinted>2020-09-10T07:03:00Z</cp:lastPrinted>
  <dcterms:modified xsi:type="dcterms:W3CDTF">2021-06-21T02:32:33Z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6CCE958BA6F34CDA828CD483BA033887</vt:lpwstr>
  </property>
</Properties>
</file>