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干熄焦焦罐（耐材）</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5</w:t>
      </w:r>
      <w:r>
        <w:rPr>
          <w:rFonts w:hint="eastAsia"/>
          <w:color w:val="000000"/>
          <w:sz w:val="24"/>
          <w:szCs w:val="24"/>
        </w:rPr>
        <w:t>月</w:t>
      </w:r>
      <w:r>
        <w:rPr>
          <w:rFonts w:hint="eastAsia"/>
          <w:color w:val="000000"/>
          <w:sz w:val="24"/>
          <w:szCs w:val="24"/>
          <w:u w:val="single"/>
          <w:lang w:val="en-US" w:eastAsia="zh-CN"/>
        </w:rPr>
        <w:t>17</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TQSC</w:t>
      </w:r>
      <w:r>
        <w:rPr>
          <w:rFonts w:hint="eastAsia" w:ascii="宋体" w:hAnsi="宋体"/>
          <w:u w:val="single"/>
          <w:lang w:val="en-US" w:eastAsia="zh-CN"/>
        </w:rPr>
        <w:t>2022005006GXJJGNC</w:t>
      </w:r>
    </w:p>
    <w:p>
      <w:pPr>
        <w:jc w:val="left"/>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干熄焦焦罐（耐材）</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2022年5月24日16：00，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5</w:t>
      </w:r>
      <w:r>
        <w:rPr>
          <w:rFonts w:hint="eastAsia" w:ascii="宋体" w:hAnsi="宋体"/>
          <w:color w:val="FF0000"/>
          <w:sz w:val="24"/>
          <w:szCs w:val="24"/>
        </w:rPr>
        <w:t>月</w:t>
      </w:r>
      <w:r>
        <w:rPr>
          <w:rFonts w:hint="eastAsia" w:ascii="宋体" w:hAnsi="宋体"/>
          <w:color w:val="FF0000"/>
          <w:sz w:val="24"/>
          <w:szCs w:val="24"/>
          <w:lang w:val="en-US" w:eastAsia="zh-CN"/>
        </w:rPr>
        <w:t>27</w:t>
      </w:r>
      <w:r>
        <w:rPr>
          <w:rFonts w:ascii="宋体" w:hAnsi="宋体"/>
          <w:bCs/>
          <w:color w:val="FF0000"/>
          <w:sz w:val="24"/>
          <w:szCs w:val="24"/>
        </w:rPr>
        <w:t>日</w:t>
      </w:r>
      <w:r>
        <w:rPr>
          <w:rFonts w:hint="eastAsia"/>
          <w:color w:val="FF0000"/>
          <w:sz w:val="24"/>
          <w:szCs w:val="24"/>
          <w:shd w:val="clear" w:color="auto" w:fill="FFFFFF"/>
          <w:lang w:val="en-US" w:eastAsia="zh-CN"/>
        </w:rPr>
        <w:t>9</w:t>
      </w:r>
      <w:r>
        <w:rPr>
          <w:rFonts w:hint="eastAsia"/>
          <w:color w:val="FF0000"/>
          <w:sz w:val="24"/>
          <w:szCs w:val="24"/>
          <w:shd w:val="clear" w:color="auto" w:fill="FFFFFF"/>
        </w:rPr>
        <w:t>:</w:t>
      </w:r>
      <w:r>
        <w:rPr>
          <w:rFonts w:hint="eastAsia"/>
          <w:color w:val="FF0000"/>
          <w:sz w:val="24"/>
          <w:szCs w:val="24"/>
          <w:shd w:val="clear" w:color="auto" w:fill="FFFFFF"/>
          <w:lang w:val="en-US" w:eastAsia="zh-CN"/>
        </w:rPr>
        <w:t>3</w:t>
      </w:r>
      <w:r>
        <w:rPr>
          <w:rFonts w:hint="eastAsia"/>
          <w:color w:val="FF0000"/>
          <w:sz w:val="24"/>
          <w:szCs w:val="24"/>
          <w:shd w:val="clear" w:color="auto" w:fill="FFFFFF"/>
        </w:rPr>
        <w:t>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5</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24</w:t>
      </w:r>
      <w:r>
        <w:rPr>
          <w:rFonts w:hint="eastAsia" w:ascii="宋体" w:hAnsi="宋体"/>
          <w:bCs/>
          <w:color w:val="0000FF"/>
          <w:sz w:val="24"/>
          <w:szCs w:val="24"/>
          <w:highlight w:val="none"/>
          <w:u w:val="none"/>
        </w:rPr>
        <w:t>日</w:t>
      </w:r>
      <w:r>
        <w:rPr>
          <w:rFonts w:hint="eastAsia" w:ascii="宋体" w:hAnsi="宋体"/>
          <w:bCs/>
          <w:color w:val="0000FF"/>
          <w:sz w:val="24"/>
          <w:szCs w:val="24"/>
          <w:highlight w:val="none"/>
          <w:u w:val="none"/>
          <w:lang w:val="en-US" w:eastAsia="zh-CN"/>
        </w:rPr>
        <w:t>16</w:t>
      </w:r>
      <w:r>
        <w:rPr>
          <w:rFonts w:hint="eastAsia" w:ascii="宋体" w:hAnsi="宋体"/>
          <w:bCs/>
          <w:color w:val="0000FF"/>
          <w:sz w:val="24"/>
          <w:szCs w:val="24"/>
          <w:highlight w:val="none"/>
          <w:u w:val="none"/>
        </w:rPr>
        <w:t>：00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耐材</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耐材</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b w:val="0"/>
          <w:bCs w:val="0"/>
          <w:sz w:val="24"/>
          <w:szCs w:val="24"/>
        </w:rPr>
      </w:pPr>
      <w:r>
        <w:rPr>
          <w:rFonts w:hint="eastAsia" w:ascii="宋体" w:hAnsi="宋体"/>
          <w:b/>
          <w:bCs/>
          <w:sz w:val="24"/>
          <w:szCs w:val="24"/>
        </w:rPr>
        <w:t>价格：</w:t>
      </w:r>
      <w:r>
        <w:rPr>
          <w:rFonts w:hint="eastAsia" w:ascii="宋体" w:hAnsi="宋体"/>
          <w:b w:val="0"/>
          <w:bCs w:val="0"/>
          <w:sz w:val="24"/>
          <w:szCs w:val="24"/>
        </w:rPr>
        <w:t>满分</w:t>
      </w:r>
      <w:r>
        <w:rPr>
          <w:rFonts w:hint="eastAsia" w:ascii="宋体" w:hAnsi="宋体"/>
          <w:b w:val="0"/>
          <w:bCs w:val="0"/>
          <w:sz w:val="24"/>
          <w:szCs w:val="24"/>
          <w:lang w:val="en-US" w:eastAsia="zh-CN"/>
        </w:rPr>
        <w:t>4</w:t>
      </w:r>
      <w:r>
        <w:rPr>
          <w:rFonts w:hint="eastAsia" w:ascii="宋体" w:hAnsi="宋体"/>
          <w:b w:val="0"/>
          <w:bCs w:val="0"/>
          <w:sz w:val="24"/>
          <w:szCs w:val="24"/>
        </w:rPr>
        <w:t>0分。满足招标文件要求的前提下，取所有投标方有效报价的最低价作为评标基准价，其得分为</w:t>
      </w:r>
      <w:r>
        <w:rPr>
          <w:rFonts w:hint="eastAsia" w:ascii="宋体" w:hAnsi="宋体"/>
          <w:b w:val="0"/>
          <w:bCs w:val="0"/>
          <w:sz w:val="24"/>
          <w:szCs w:val="24"/>
          <w:lang w:val="en-US" w:eastAsia="zh-CN"/>
        </w:rPr>
        <w:t>4</w:t>
      </w:r>
      <w:r>
        <w:rPr>
          <w:rFonts w:hint="eastAsia" w:ascii="宋体" w:hAnsi="宋体"/>
          <w:b w:val="0"/>
          <w:bCs w:val="0"/>
          <w:sz w:val="24"/>
          <w:szCs w:val="24"/>
        </w:rPr>
        <w:t>0分，其他得分为：价格分=</w:t>
      </w:r>
      <w:r>
        <w:rPr>
          <w:rFonts w:hint="eastAsia" w:ascii="宋体" w:hAnsi="宋体"/>
          <w:b w:val="0"/>
          <w:bCs w:val="0"/>
          <w:sz w:val="24"/>
          <w:szCs w:val="24"/>
          <w:lang w:val="en-US" w:eastAsia="zh-CN"/>
        </w:rPr>
        <w:t>4</w:t>
      </w:r>
      <w:r>
        <w:rPr>
          <w:rFonts w:hint="eastAsia" w:ascii="宋体" w:hAnsi="宋体"/>
          <w:b w:val="0"/>
          <w:bCs w:val="0"/>
          <w:sz w:val="24"/>
          <w:szCs w:val="24"/>
        </w:rPr>
        <w:t>0*评标基准价÷有效报价。</w:t>
      </w:r>
    </w:p>
    <w:p>
      <w:pPr>
        <w:ind w:firstLine="482" w:firstLineChars="200"/>
        <w:rPr>
          <w:rFonts w:hint="eastAsia" w:ascii="宋体" w:hAnsi="宋体"/>
          <w:b w:val="0"/>
          <w:bCs w:val="0"/>
          <w:sz w:val="24"/>
          <w:szCs w:val="24"/>
        </w:rPr>
      </w:pPr>
      <w:r>
        <w:rPr>
          <w:rFonts w:hint="eastAsia" w:ascii="宋体" w:hAnsi="宋体"/>
          <w:b/>
          <w:bCs/>
          <w:sz w:val="24"/>
          <w:szCs w:val="24"/>
        </w:rPr>
        <w:t>质量：</w:t>
      </w:r>
      <w:r>
        <w:rPr>
          <w:rFonts w:hint="eastAsia" w:ascii="宋体" w:hAnsi="宋体"/>
          <w:b w:val="0"/>
          <w:bCs w:val="0"/>
          <w:sz w:val="24"/>
          <w:szCs w:val="24"/>
        </w:rPr>
        <w:t>满分</w:t>
      </w:r>
      <w:r>
        <w:rPr>
          <w:rFonts w:hint="eastAsia" w:ascii="宋体" w:hAnsi="宋体"/>
          <w:b w:val="0"/>
          <w:bCs w:val="0"/>
          <w:sz w:val="24"/>
          <w:szCs w:val="24"/>
          <w:lang w:val="en-US" w:eastAsia="zh-CN"/>
        </w:rPr>
        <w:t>3</w:t>
      </w:r>
      <w:r>
        <w:rPr>
          <w:rFonts w:hint="eastAsia" w:ascii="宋体" w:hAnsi="宋体"/>
          <w:b w:val="0"/>
          <w:bCs w:val="0"/>
          <w:sz w:val="24"/>
          <w:szCs w:val="24"/>
        </w:rPr>
        <w:t>0分。技术方案及质量没有响应招标文件的投标将被否决。质量响应招标文件1</w:t>
      </w:r>
      <w:r>
        <w:rPr>
          <w:rFonts w:hint="eastAsia" w:ascii="宋体" w:hAnsi="宋体"/>
          <w:b w:val="0"/>
          <w:bCs w:val="0"/>
          <w:sz w:val="24"/>
          <w:szCs w:val="24"/>
          <w:lang w:val="en-US" w:eastAsia="zh-CN"/>
        </w:rPr>
        <w:t>3</w:t>
      </w:r>
      <w:r>
        <w:rPr>
          <w:rFonts w:hint="eastAsia" w:ascii="宋体" w:hAnsi="宋体"/>
          <w:b w:val="0"/>
          <w:bCs w:val="0"/>
          <w:sz w:val="24"/>
          <w:szCs w:val="24"/>
        </w:rPr>
        <w:t>分（技术指标响应）；</w:t>
      </w:r>
      <w:r>
        <w:rPr>
          <w:rFonts w:hint="eastAsia" w:ascii="宋体" w:hAnsi="宋体"/>
          <w:b w:val="0"/>
          <w:bCs w:val="0"/>
          <w:sz w:val="24"/>
          <w:szCs w:val="24"/>
          <w:lang w:val="en-US" w:eastAsia="zh-CN"/>
        </w:rPr>
        <w:t>产品性能及技术指标12分</w:t>
      </w:r>
      <w:r>
        <w:rPr>
          <w:rFonts w:hint="eastAsia" w:ascii="宋体" w:hAnsi="宋体"/>
          <w:b w:val="0"/>
          <w:bCs w:val="0"/>
          <w:sz w:val="24"/>
          <w:szCs w:val="24"/>
        </w:rPr>
        <w:t>；质量体系认证</w:t>
      </w:r>
      <w:r>
        <w:rPr>
          <w:rFonts w:hint="eastAsia" w:ascii="宋体" w:hAnsi="宋体"/>
          <w:b w:val="0"/>
          <w:bCs w:val="0"/>
          <w:sz w:val="24"/>
          <w:szCs w:val="24"/>
          <w:lang w:val="en-US" w:eastAsia="zh-CN"/>
        </w:rPr>
        <w:t>3</w:t>
      </w:r>
      <w:r>
        <w:rPr>
          <w:rFonts w:hint="eastAsia" w:ascii="宋体" w:hAnsi="宋体"/>
          <w:b w:val="0"/>
          <w:bCs w:val="0"/>
          <w:sz w:val="24"/>
          <w:szCs w:val="24"/>
        </w:rPr>
        <w:t>分；相关专利2分。</w:t>
      </w:r>
    </w:p>
    <w:p>
      <w:pPr>
        <w:ind w:firstLine="482" w:firstLineChars="200"/>
        <w:rPr>
          <w:rFonts w:hint="eastAsia" w:ascii="宋体" w:hAnsi="宋体"/>
          <w:b w:val="0"/>
          <w:bCs w:val="0"/>
          <w:sz w:val="24"/>
          <w:szCs w:val="24"/>
        </w:rPr>
      </w:pPr>
      <w:r>
        <w:rPr>
          <w:rFonts w:hint="eastAsia" w:ascii="宋体" w:hAnsi="宋体"/>
          <w:b/>
          <w:bCs/>
          <w:sz w:val="24"/>
          <w:szCs w:val="24"/>
        </w:rPr>
        <w:t>资质、装备及工艺技术水平、业绩状况：</w:t>
      </w:r>
      <w:r>
        <w:rPr>
          <w:rFonts w:hint="eastAsia" w:ascii="宋体" w:hAnsi="宋体"/>
          <w:b w:val="0"/>
          <w:bCs w:val="0"/>
          <w:sz w:val="24"/>
          <w:szCs w:val="24"/>
        </w:rPr>
        <w:t>满分</w:t>
      </w:r>
      <w:r>
        <w:rPr>
          <w:rFonts w:hint="eastAsia" w:ascii="宋体" w:hAnsi="宋体"/>
          <w:b w:val="0"/>
          <w:bCs w:val="0"/>
          <w:sz w:val="24"/>
          <w:szCs w:val="24"/>
          <w:lang w:val="en-US" w:eastAsia="zh-CN"/>
        </w:rPr>
        <w:t>2</w:t>
      </w:r>
      <w:r>
        <w:rPr>
          <w:rFonts w:hint="eastAsia" w:ascii="宋体" w:hAnsi="宋体"/>
          <w:b w:val="0"/>
          <w:bCs w:val="0"/>
          <w:sz w:val="24"/>
          <w:szCs w:val="24"/>
        </w:rPr>
        <w:t>0分。资质</w:t>
      </w:r>
      <w:r>
        <w:rPr>
          <w:rFonts w:hint="eastAsia" w:ascii="宋体" w:hAnsi="宋体"/>
          <w:b w:val="0"/>
          <w:bCs w:val="0"/>
          <w:sz w:val="24"/>
          <w:szCs w:val="24"/>
          <w:lang w:val="en-US" w:eastAsia="zh-CN"/>
        </w:rPr>
        <w:t>2分</w:t>
      </w:r>
      <w:r>
        <w:rPr>
          <w:rFonts w:hint="eastAsia" w:ascii="宋体" w:hAnsi="宋体"/>
          <w:b w:val="0"/>
          <w:bCs w:val="0"/>
          <w:sz w:val="24"/>
          <w:szCs w:val="24"/>
        </w:rPr>
        <w:t>（具备相应的加工生产能力</w:t>
      </w:r>
      <w:r>
        <w:rPr>
          <w:rFonts w:hint="eastAsia" w:ascii="宋体" w:hAnsi="宋体"/>
          <w:b w:val="0"/>
          <w:bCs w:val="0"/>
          <w:sz w:val="24"/>
          <w:szCs w:val="24"/>
          <w:lang w:val="en-US" w:eastAsia="zh-CN"/>
        </w:rPr>
        <w:t>2</w:t>
      </w:r>
      <w:r>
        <w:rPr>
          <w:rFonts w:hint="eastAsia" w:ascii="宋体" w:hAnsi="宋体"/>
          <w:b w:val="0"/>
          <w:bCs w:val="0"/>
          <w:sz w:val="24"/>
          <w:szCs w:val="24"/>
        </w:rPr>
        <w:t>分，仅有销售能力1分。）无相应经营范围0分）；公司规模及人员构成</w:t>
      </w:r>
      <w:r>
        <w:rPr>
          <w:rFonts w:hint="eastAsia" w:ascii="宋体" w:hAnsi="宋体"/>
          <w:b w:val="0"/>
          <w:bCs w:val="0"/>
          <w:sz w:val="24"/>
          <w:szCs w:val="24"/>
          <w:lang w:val="en-US" w:eastAsia="zh-CN"/>
        </w:rPr>
        <w:t>4</w:t>
      </w:r>
      <w:r>
        <w:rPr>
          <w:rFonts w:hint="eastAsia" w:ascii="宋体" w:hAnsi="宋体"/>
          <w:b w:val="0"/>
          <w:bCs w:val="0"/>
          <w:sz w:val="24"/>
          <w:szCs w:val="24"/>
        </w:rPr>
        <w:t>分（参照企查查等资信平台参保人数）；装备及能力、水平等2分（参照供应商资信调查表）；相关业绩</w:t>
      </w:r>
      <w:r>
        <w:rPr>
          <w:rFonts w:hint="eastAsia" w:ascii="宋体" w:hAnsi="宋体"/>
          <w:b w:val="0"/>
          <w:bCs w:val="0"/>
          <w:sz w:val="24"/>
          <w:szCs w:val="24"/>
          <w:lang w:val="en-US" w:eastAsia="zh-CN"/>
        </w:rPr>
        <w:t>12</w:t>
      </w:r>
      <w:r>
        <w:rPr>
          <w:rFonts w:hint="eastAsia" w:ascii="宋体" w:hAnsi="宋体"/>
          <w:b w:val="0"/>
          <w:bCs w:val="0"/>
          <w:sz w:val="24"/>
          <w:szCs w:val="24"/>
        </w:rPr>
        <w:t>分(类似业绩每项1</w:t>
      </w:r>
      <w:r>
        <w:rPr>
          <w:rFonts w:hint="eastAsia" w:ascii="宋体" w:hAnsi="宋体"/>
          <w:b w:val="0"/>
          <w:bCs w:val="0"/>
          <w:sz w:val="24"/>
          <w:szCs w:val="24"/>
          <w:lang w:val="en-US" w:eastAsia="zh-CN"/>
        </w:rPr>
        <w:t>-3</w:t>
      </w:r>
      <w:r>
        <w:rPr>
          <w:rFonts w:hint="eastAsia" w:ascii="宋体" w:hAnsi="宋体"/>
          <w:b w:val="0"/>
          <w:bCs w:val="0"/>
          <w:sz w:val="24"/>
          <w:szCs w:val="24"/>
        </w:rPr>
        <w:t>分，最高</w:t>
      </w:r>
      <w:r>
        <w:rPr>
          <w:rFonts w:hint="eastAsia" w:ascii="宋体" w:hAnsi="宋体"/>
          <w:b w:val="0"/>
          <w:bCs w:val="0"/>
          <w:sz w:val="24"/>
          <w:szCs w:val="24"/>
          <w:lang w:val="en-US" w:eastAsia="zh-CN"/>
        </w:rPr>
        <w:t>12</w:t>
      </w:r>
      <w:r>
        <w:rPr>
          <w:rFonts w:hint="eastAsia" w:ascii="宋体" w:hAnsi="宋体"/>
          <w:b w:val="0"/>
          <w:bCs w:val="0"/>
          <w:sz w:val="24"/>
          <w:szCs w:val="24"/>
        </w:rPr>
        <w:t>分)。</w:t>
      </w:r>
    </w:p>
    <w:p>
      <w:pPr>
        <w:ind w:firstLine="482" w:firstLineChars="200"/>
        <w:rPr>
          <w:rFonts w:hint="eastAsia" w:ascii="宋体" w:hAnsi="宋体"/>
          <w:b w:val="0"/>
          <w:bCs w:val="0"/>
          <w:sz w:val="24"/>
          <w:szCs w:val="24"/>
        </w:rPr>
      </w:pPr>
      <w:r>
        <w:rPr>
          <w:rFonts w:hint="eastAsia" w:ascii="宋体" w:hAnsi="宋体"/>
          <w:b/>
          <w:bCs/>
          <w:sz w:val="24"/>
          <w:szCs w:val="24"/>
        </w:rPr>
        <w:t>服务、工期及资金状况：</w:t>
      </w:r>
      <w:r>
        <w:rPr>
          <w:rFonts w:hint="eastAsia" w:ascii="宋体" w:hAnsi="宋体"/>
          <w:b w:val="0"/>
          <w:bCs w:val="0"/>
          <w:sz w:val="24"/>
          <w:szCs w:val="24"/>
        </w:rPr>
        <w:t>满分10分。备货周期3 分；售后服务保障措施2分；资金状况2分（参照实缴注册资金）；付款方式3分。</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满足附件技术要求及铁前部焦化使用要求。</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该项目为我公司焦化6米焦炉2个焦罐制作耐材内衬。供方负责设计、制作，制作满足需方的焦罐改造要求。质保期两年，质保期内出现的质量问题，供方无条件负责维修。</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焦罐运出厂改造，改造完成后整体运送到需方指定使用现场，按需方要求逐套改造，单套改造工期不超过45天。</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要求生产企业，提供2019年至今（以合同签订时间），2份及以上焦罐耐材制作的合同业绩。</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付款：货到验收合格，支付货款的90%，留10%作为质保金，质保期满无质量问题正常支付。</w:t>
      </w:r>
    </w:p>
    <w:p>
      <w:pPr>
        <w:numPr>
          <w:ilvl w:val="0"/>
          <w:numId w:val="9"/>
        </w:numPr>
        <w:spacing w:line="360" w:lineRule="auto"/>
        <w:ind w:left="1050" w:leftChars="0" w:firstLineChars="0"/>
        <w:rPr>
          <w:rFonts w:hint="default" w:ascii="宋体" w:hAnsi="宋体" w:cs="Times New Roman"/>
          <w:b/>
          <w:color w:val="FF0000"/>
          <w:sz w:val="24"/>
          <w:szCs w:val="24"/>
          <w:lang w:val="en-US" w:eastAsia="zh-CN"/>
        </w:rPr>
      </w:pPr>
      <w:r>
        <w:rPr>
          <w:rFonts w:hint="eastAsia" w:ascii="宋体" w:hAnsi="宋体" w:eastAsia="宋体" w:cs="Times New Roman"/>
          <w:b/>
          <w:color w:val="FF0000"/>
          <w:kern w:val="2"/>
          <w:sz w:val="24"/>
          <w:szCs w:val="24"/>
          <w:lang w:val="en-US" w:eastAsia="zh-CN" w:bidi="ar-SA"/>
        </w:rPr>
        <w:t>本次招标项目未设最高限价，有效报价超过三家的实行最高价淘汰</w:t>
      </w:r>
      <w:r>
        <w:rPr>
          <w:rFonts w:hint="eastAsia" w:ascii="宋体" w:hAnsi="宋体" w:cs="Times New Roman"/>
          <w:b/>
          <w:color w:val="FF0000"/>
          <w:kern w:val="2"/>
          <w:sz w:val="24"/>
          <w:szCs w:val="24"/>
          <w:lang w:val="en-US" w:eastAsia="zh-CN" w:bidi="ar-SA"/>
        </w:rPr>
        <w:t>。</w:t>
      </w: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
      <w:pPr>
        <w:pStyle w:val="2"/>
      </w:pPr>
    </w:p>
    <w:p/>
    <w:p>
      <w:pPr>
        <w:pStyle w:val="2"/>
      </w:pPr>
    </w:p>
    <w:p/>
    <w:p/>
    <w:p>
      <w:pPr>
        <w:pStyle w:val="2"/>
      </w:pPr>
    </w:p>
    <w:p/>
    <w:p>
      <w:pPr>
        <w:pStyle w:val="2"/>
        <w:tabs>
          <w:tab w:val="left" w:pos="4122"/>
        </w:tabs>
        <w:rPr>
          <w:rFonts w:hint="eastAsia" w:eastAsia="宋体"/>
          <w:lang w:eastAsia="zh-CN"/>
        </w:rPr>
      </w:pPr>
    </w:p>
    <w:p>
      <w:pPr>
        <w:pStyle w:val="2"/>
        <w:rPr>
          <w:b/>
          <w:sz w:val="24"/>
          <w:szCs w:val="24"/>
        </w:rPr>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5</w:t>
      </w:r>
      <w:r>
        <w:rPr>
          <w:rFonts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w:t>
      </w: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干熄焦焦罐（耐材）</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w:t>
      </w:r>
      <w:bookmarkStart w:id="0" w:name="_GoBack"/>
      <w:bookmarkEnd w:id="0"/>
      <w:r>
        <w:rPr>
          <w:rFonts w:hint="default"/>
          <w:sz w:val="28"/>
          <w:szCs w:val="24"/>
          <w:lang w:val="en-US" w:eastAsia="zh-CN"/>
        </w:rPr>
        <w:t>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21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TI2YmM2ZWY0MWUxMWJhMDA3OTI2MTg5ZTllZjcifQ=="/>
  </w:docVars>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EA0118"/>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124322"/>
    <w:rsid w:val="06897D7B"/>
    <w:rsid w:val="069D6451"/>
    <w:rsid w:val="06CB7169"/>
    <w:rsid w:val="06DC0977"/>
    <w:rsid w:val="071C5217"/>
    <w:rsid w:val="07BA48CA"/>
    <w:rsid w:val="07F32621"/>
    <w:rsid w:val="08024924"/>
    <w:rsid w:val="0831406E"/>
    <w:rsid w:val="08386081"/>
    <w:rsid w:val="083A4C2B"/>
    <w:rsid w:val="085B58B3"/>
    <w:rsid w:val="08A2100E"/>
    <w:rsid w:val="08A96692"/>
    <w:rsid w:val="08C72732"/>
    <w:rsid w:val="090F2391"/>
    <w:rsid w:val="09694018"/>
    <w:rsid w:val="097B7AE5"/>
    <w:rsid w:val="0A013E41"/>
    <w:rsid w:val="0A6F1B02"/>
    <w:rsid w:val="0A917FB6"/>
    <w:rsid w:val="0AF63A42"/>
    <w:rsid w:val="0B106156"/>
    <w:rsid w:val="0B187AA4"/>
    <w:rsid w:val="0B5E1A54"/>
    <w:rsid w:val="0BFF25BD"/>
    <w:rsid w:val="0C3152C1"/>
    <w:rsid w:val="0CBC295F"/>
    <w:rsid w:val="0D004C93"/>
    <w:rsid w:val="0D2F279C"/>
    <w:rsid w:val="0D817B82"/>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A626A7"/>
    <w:rsid w:val="11BA6270"/>
    <w:rsid w:val="11F052D6"/>
    <w:rsid w:val="12623A3F"/>
    <w:rsid w:val="127E0B34"/>
    <w:rsid w:val="131E40C5"/>
    <w:rsid w:val="135C10D5"/>
    <w:rsid w:val="139F3DA1"/>
    <w:rsid w:val="13D576D7"/>
    <w:rsid w:val="14772C2B"/>
    <w:rsid w:val="14881933"/>
    <w:rsid w:val="14F3071A"/>
    <w:rsid w:val="153B7F69"/>
    <w:rsid w:val="154D48F1"/>
    <w:rsid w:val="158A4695"/>
    <w:rsid w:val="15F15FE6"/>
    <w:rsid w:val="16473008"/>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430554"/>
    <w:rsid w:val="1CCB1E53"/>
    <w:rsid w:val="1D2E11E1"/>
    <w:rsid w:val="1D594678"/>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2957C4"/>
    <w:rsid w:val="22347461"/>
    <w:rsid w:val="224B04E8"/>
    <w:rsid w:val="225418B2"/>
    <w:rsid w:val="227C4964"/>
    <w:rsid w:val="22B96773"/>
    <w:rsid w:val="22E00851"/>
    <w:rsid w:val="235C23EB"/>
    <w:rsid w:val="23701C2F"/>
    <w:rsid w:val="23CB766B"/>
    <w:rsid w:val="23CE57C2"/>
    <w:rsid w:val="23D22DCD"/>
    <w:rsid w:val="246A25A2"/>
    <w:rsid w:val="246A53BC"/>
    <w:rsid w:val="25206CD2"/>
    <w:rsid w:val="25230E4D"/>
    <w:rsid w:val="25466F1F"/>
    <w:rsid w:val="25871E1F"/>
    <w:rsid w:val="258E0AE8"/>
    <w:rsid w:val="25B129B0"/>
    <w:rsid w:val="25F74A2E"/>
    <w:rsid w:val="261E645E"/>
    <w:rsid w:val="266100F9"/>
    <w:rsid w:val="268D7081"/>
    <w:rsid w:val="26F50CB1"/>
    <w:rsid w:val="26F906B4"/>
    <w:rsid w:val="27233601"/>
    <w:rsid w:val="278055FF"/>
    <w:rsid w:val="288D3DC5"/>
    <w:rsid w:val="28926C90"/>
    <w:rsid w:val="28A22ADC"/>
    <w:rsid w:val="28B030F4"/>
    <w:rsid w:val="28D56B7C"/>
    <w:rsid w:val="28E2171B"/>
    <w:rsid w:val="28F7675F"/>
    <w:rsid w:val="29401D6D"/>
    <w:rsid w:val="29FD45DD"/>
    <w:rsid w:val="2A207F5F"/>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525999"/>
    <w:rsid w:val="339D246B"/>
    <w:rsid w:val="33BC4094"/>
    <w:rsid w:val="33DE5B5C"/>
    <w:rsid w:val="33F407FF"/>
    <w:rsid w:val="342060A8"/>
    <w:rsid w:val="34B14942"/>
    <w:rsid w:val="34BB556C"/>
    <w:rsid w:val="35212328"/>
    <w:rsid w:val="354C01C6"/>
    <w:rsid w:val="357240D1"/>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D243C9"/>
    <w:rsid w:val="3BE9480C"/>
    <w:rsid w:val="3C036E6F"/>
    <w:rsid w:val="3C3E683E"/>
    <w:rsid w:val="3C456A69"/>
    <w:rsid w:val="3C487023"/>
    <w:rsid w:val="3C887586"/>
    <w:rsid w:val="3CD340E5"/>
    <w:rsid w:val="3D522FF0"/>
    <w:rsid w:val="3D5A40AB"/>
    <w:rsid w:val="3DA80B7D"/>
    <w:rsid w:val="3DB441B2"/>
    <w:rsid w:val="3DD2066D"/>
    <w:rsid w:val="3DD452AF"/>
    <w:rsid w:val="3DD967AA"/>
    <w:rsid w:val="3E371640"/>
    <w:rsid w:val="3E530817"/>
    <w:rsid w:val="3E66724B"/>
    <w:rsid w:val="3EAB41B0"/>
    <w:rsid w:val="3EB9202C"/>
    <w:rsid w:val="3EB93F1F"/>
    <w:rsid w:val="3EC14D90"/>
    <w:rsid w:val="3EE80BA8"/>
    <w:rsid w:val="3EF869AA"/>
    <w:rsid w:val="3F0B65A3"/>
    <w:rsid w:val="3F626F64"/>
    <w:rsid w:val="3FC82DB5"/>
    <w:rsid w:val="402E5098"/>
    <w:rsid w:val="40471E5C"/>
    <w:rsid w:val="404A6AC9"/>
    <w:rsid w:val="406012F8"/>
    <w:rsid w:val="40E60214"/>
    <w:rsid w:val="40F24318"/>
    <w:rsid w:val="41394D83"/>
    <w:rsid w:val="41803823"/>
    <w:rsid w:val="41923405"/>
    <w:rsid w:val="419E3A51"/>
    <w:rsid w:val="41A706B0"/>
    <w:rsid w:val="41BF02F4"/>
    <w:rsid w:val="422E1FDF"/>
    <w:rsid w:val="423C71D1"/>
    <w:rsid w:val="42417305"/>
    <w:rsid w:val="424A314A"/>
    <w:rsid w:val="426213B7"/>
    <w:rsid w:val="42CE1EFE"/>
    <w:rsid w:val="435C1211"/>
    <w:rsid w:val="43943464"/>
    <w:rsid w:val="43DE4636"/>
    <w:rsid w:val="44106AE0"/>
    <w:rsid w:val="44367FF1"/>
    <w:rsid w:val="446C7AC2"/>
    <w:rsid w:val="449B55B4"/>
    <w:rsid w:val="44D22496"/>
    <w:rsid w:val="4500284B"/>
    <w:rsid w:val="45407B03"/>
    <w:rsid w:val="45C004AA"/>
    <w:rsid w:val="46587D68"/>
    <w:rsid w:val="46AA2F9F"/>
    <w:rsid w:val="46CC5915"/>
    <w:rsid w:val="47290683"/>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8E11B2"/>
    <w:rsid w:val="4CBD7ED0"/>
    <w:rsid w:val="4D23274F"/>
    <w:rsid w:val="4D7B2123"/>
    <w:rsid w:val="4D817459"/>
    <w:rsid w:val="4DC66F68"/>
    <w:rsid w:val="4DE80F7C"/>
    <w:rsid w:val="4E091027"/>
    <w:rsid w:val="4E0E6243"/>
    <w:rsid w:val="4E1D39CD"/>
    <w:rsid w:val="4E343381"/>
    <w:rsid w:val="4ED37EC9"/>
    <w:rsid w:val="505C46C9"/>
    <w:rsid w:val="50A53155"/>
    <w:rsid w:val="50A67633"/>
    <w:rsid w:val="50E43B46"/>
    <w:rsid w:val="510A2956"/>
    <w:rsid w:val="512A5408"/>
    <w:rsid w:val="514F2EE0"/>
    <w:rsid w:val="517F329F"/>
    <w:rsid w:val="51856AE2"/>
    <w:rsid w:val="51A458AF"/>
    <w:rsid w:val="51CD60D0"/>
    <w:rsid w:val="527F49C8"/>
    <w:rsid w:val="52D332CB"/>
    <w:rsid w:val="52E54E97"/>
    <w:rsid w:val="52EE0AE7"/>
    <w:rsid w:val="530323B4"/>
    <w:rsid w:val="536967A8"/>
    <w:rsid w:val="53AB6FFE"/>
    <w:rsid w:val="5403556E"/>
    <w:rsid w:val="54664C18"/>
    <w:rsid w:val="554C057B"/>
    <w:rsid w:val="55D50038"/>
    <w:rsid w:val="56065626"/>
    <w:rsid w:val="562E1D47"/>
    <w:rsid w:val="566E6D8E"/>
    <w:rsid w:val="56717635"/>
    <w:rsid w:val="56B606CC"/>
    <w:rsid w:val="56FF0A43"/>
    <w:rsid w:val="578238C5"/>
    <w:rsid w:val="57AC75B3"/>
    <w:rsid w:val="57D705F2"/>
    <w:rsid w:val="57EA4190"/>
    <w:rsid w:val="57F740DC"/>
    <w:rsid w:val="58095D77"/>
    <w:rsid w:val="58AE198D"/>
    <w:rsid w:val="58E53A38"/>
    <w:rsid w:val="59677D4F"/>
    <w:rsid w:val="598A03E4"/>
    <w:rsid w:val="59A57A14"/>
    <w:rsid w:val="59CC7162"/>
    <w:rsid w:val="5AAF6E02"/>
    <w:rsid w:val="5AEA3AD0"/>
    <w:rsid w:val="5B0D3DD0"/>
    <w:rsid w:val="5B1D2529"/>
    <w:rsid w:val="5B35349E"/>
    <w:rsid w:val="5B3F7D83"/>
    <w:rsid w:val="5B527398"/>
    <w:rsid w:val="5BA959B9"/>
    <w:rsid w:val="5BCF0AD5"/>
    <w:rsid w:val="5C2447C0"/>
    <w:rsid w:val="5C4F17D1"/>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2D41677"/>
    <w:rsid w:val="63640C4D"/>
    <w:rsid w:val="63825779"/>
    <w:rsid w:val="64191A38"/>
    <w:rsid w:val="6438579B"/>
    <w:rsid w:val="64717620"/>
    <w:rsid w:val="655749FB"/>
    <w:rsid w:val="65E5671A"/>
    <w:rsid w:val="667473F9"/>
    <w:rsid w:val="669C06FE"/>
    <w:rsid w:val="66A321D4"/>
    <w:rsid w:val="66EA0C9A"/>
    <w:rsid w:val="66FB3BC1"/>
    <w:rsid w:val="67023348"/>
    <w:rsid w:val="6753255C"/>
    <w:rsid w:val="678F7868"/>
    <w:rsid w:val="67A535E2"/>
    <w:rsid w:val="67C021CA"/>
    <w:rsid w:val="686F59C5"/>
    <w:rsid w:val="68985C4A"/>
    <w:rsid w:val="68BB275A"/>
    <w:rsid w:val="68DB550E"/>
    <w:rsid w:val="69107F50"/>
    <w:rsid w:val="695E0A51"/>
    <w:rsid w:val="69C73CE4"/>
    <w:rsid w:val="69EE74C3"/>
    <w:rsid w:val="6A570BC4"/>
    <w:rsid w:val="6AE04711"/>
    <w:rsid w:val="6AE713EB"/>
    <w:rsid w:val="6B015D37"/>
    <w:rsid w:val="6B5415A7"/>
    <w:rsid w:val="6B8D7C67"/>
    <w:rsid w:val="6B9014C7"/>
    <w:rsid w:val="6BA16731"/>
    <w:rsid w:val="6BB3784E"/>
    <w:rsid w:val="6C5C0714"/>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59929D8"/>
    <w:rsid w:val="761859F6"/>
    <w:rsid w:val="76206BC5"/>
    <w:rsid w:val="764A782F"/>
    <w:rsid w:val="76816FC9"/>
    <w:rsid w:val="76EB3FE1"/>
    <w:rsid w:val="770E210B"/>
    <w:rsid w:val="772D76F7"/>
    <w:rsid w:val="773210D8"/>
    <w:rsid w:val="77514815"/>
    <w:rsid w:val="77846985"/>
    <w:rsid w:val="778A5616"/>
    <w:rsid w:val="77F80B55"/>
    <w:rsid w:val="780E1C86"/>
    <w:rsid w:val="78184195"/>
    <w:rsid w:val="782A7918"/>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4244</Words>
  <Characters>4503</Characters>
  <Lines>35</Lines>
  <Paragraphs>10</Paragraphs>
  <TotalTime>1</TotalTime>
  <ScaleCrop>false</ScaleCrop>
  <LinksUpToDate>false</LinksUpToDate>
  <CharactersWithSpaces>5470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2022-05-17T06:54:50Z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4995EBE911CD40569EDE3F5D63DAF9B7</vt:lpwstr>
  </property>
</Properties>
</file>